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Starwood Real Estate Income Trust, Inc. (non-traded REIT ('34 Act reporting), CIK 1711929)</w:t>
        <w:br/>
      </w:r>
      <w:r>
        <w:t>Record as of 2026-09-04. DRAFT, generated by the build from the record. The decision memo for the same plan and product is a separate document.</w:t>
      </w:r>
    </w:p>
    <w:p>
      <w:pPr>
        <w:pStyle w:val="Heading1"/>
      </w:pPr>
      <w:r>
        <w:t>Summary</w:t>
      </w:r>
    </w:p>
    <w:p>
      <w:r>
        <w:t>Structural liquidity verdict: MISALIGNED (typed facts, plan-independent). Scenario verdict under this plan (ILLUSTRATIVE, default sliders): MISALIGNED.</w:t>
      </w:r>
    </w:p>
    <w:p>
      <w:r>
        <w:t>Benchmark: Listed REIT investable proxy (VNQ) at 9/12, KS-PME 0.9453, Direct Alpha -5.47%/yr over 2024-12-31 to 2025-12-31.</w:t>
      </w:r>
    </w:p>
    <w:p>
      <w:r>
        <w:t>Flags raised by the record (each restates a typed value or verdict, with its source):</w:t>
      </w:r>
    </w:p>
    <w:p>
      <w:pPr>
        <w:pStyle w:val="ListBullet"/>
      </w:pPr>
      <w:r>
        <w:t>Benchmark: low confidence: 1-year window, shorter than 3 years (benchmark comparison)</w:t>
      </w:r>
    </w:p>
    <w:p>
      <w:pPr>
        <w:pStyle w:val="ListBullet"/>
      </w:pPr>
      <w:r>
        <w:t>Liquidity: repurchase program suspended (cells 3.1, 3.3)</w:t>
      </w:r>
    </w:p>
    <w:p>
      <w:pPr>
        <w:pStyle w:val="ListBullet"/>
      </w:pPr>
      <w:r>
        <w:t>Liquidity: gating precedent, repurchases prorated under stress (cell 3.3)</w:t>
      </w:r>
    </w:p>
    <w:p>
      <w:pPr>
        <w:pStyle w:val="ListBullet"/>
      </w:pPr>
      <w:r>
        <w:t>Liquidity: ILLUSTRATIVE scenario verdict misaligned under this plan (base or stressed demand above wrapper capacity)</w:t>
      </w:r>
    </w:p>
    <w:p>
      <w:r>
        <w:t>Evidence coverage: 40 of 40 resolvable, 0 verified, 14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Listed REIT investable proxy (VNQ)</w:t>
            </w:r>
          </w:p>
        </w:tc>
        <w:tc>
          <w:tcPr>
            <w:tcW w:type="dxa" w:w="864"/>
          </w:tcPr>
          <w:p>
            <w:r>
              <w:t>9/12</w:t>
            </w:r>
          </w:p>
        </w:tc>
        <w:tc>
          <w:tcPr>
            <w:tcW w:type="dxa" w:w="3888"/>
          </w:tcPr>
          <w:p>
            <w:r>
              <w:t>KS-PME 0.9453, Direct Alpha -5.47%/yr, 2024-12-31 to 2025-12-31</w:t>
            </w:r>
          </w:p>
        </w:tc>
      </w:tr>
      <w:tr>
        <w:tc>
          <w:tcPr>
            <w:tcW w:type="dxa" w:w="1152"/>
          </w:tcPr>
          <w:p>
            <w:r>
              <w:t>secondary</w:t>
            </w:r>
          </w:p>
        </w:tc>
        <w:tc>
          <w:tcPr>
            <w:tcW w:type="dxa" w:w="3456"/>
          </w:tcPr>
          <w:p>
            <w:r>
              <w:t>NCREIF Fund Index - ODCE (private core RE)</w:t>
            </w:r>
          </w:p>
        </w:tc>
        <w:tc>
          <w:tcPr>
            <w:tcW w:type="dxa" w:w="864"/>
          </w:tcPr>
          <w:p>
            <w:r>
              <w:t>7/12</w:t>
            </w:r>
          </w:p>
        </w:tc>
        <w:tc>
          <w:tcPr>
            <w:tcW w:type="dxa" w:w="3888"/>
          </w:tcPr>
          <w:p>
            <w:r>
              <w:t>selected</w:t>
            </w:r>
          </w:p>
        </w:tc>
      </w:tr>
      <w:tr>
        <w:tc>
          <w:tcPr>
            <w:tcW w:type="dxa" w:w="1152"/>
          </w:tcPr>
          <w:p>
            <w:r>
              <w:t>rejected</w:t>
            </w:r>
          </w:p>
        </w:tc>
        <w:tc>
          <w:tcPr>
            <w:tcW w:type="dxa" w:w="3456"/>
          </w:tcPr>
          <w:p>
            <w:r>
              <w:t>Cambridge Associates Real Estate benchmark</w:t>
            </w:r>
          </w:p>
        </w:tc>
        <w:tc>
          <w:tcPr>
            <w:tcW w:type="dxa" w:w="864"/>
          </w:tcPr>
          <w:p>
            <w:r>
              <w:t>7/12</w:t>
            </w:r>
          </w:p>
        </w:tc>
        <w:tc>
          <w:tcPr>
            <w:tcW w:type="dxa" w:w="3888"/>
          </w:tcPr>
          <w:p>
            <w:r>
              <w:t>outranked: score 7/12 vs primary 9/12 and secondary 7/12 (only two slots). Retained in log as viable alternate</w:t>
            </w:r>
          </w:p>
        </w:tc>
      </w:tr>
      <w:tr>
        <w:tc>
          <w:tcPr>
            <w:tcW w:type="dxa" w:w="1152"/>
          </w:tcPr>
          <w:p>
            <w:r>
              <w:t>rejected</w:t>
            </w:r>
          </w:p>
        </w:tc>
        <w:tc>
          <w:tcPr>
            <w:tcW w:type="dxa" w:w="3456"/>
          </w:tcPr>
          <w:p>
            <w:r>
              <w:t>Peer composite, non-traded real estate cohort without Starwood Real Estate Income Trust, Inc. (members: Blackstone Real Estate Income Trust Inc, JLL Income Property Trust, Inc.)</w:t>
            </w:r>
          </w:p>
        </w:tc>
        <w:tc>
          <w:tcPr>
            <w:tcW w:type="dxa" w:w="864"/>
          </w:tcPr>
          <w:p>
            <w:r>
              <w:t>3/12</w:t>
            </w:r>
          </w:p>
        </w:tc>
        <w:tc>
          <w:tcPr>
            <w:tcW w:type="dxa" w:w="3888"/>
          </w:tcPr>
          <w:p>
            <w:r>
              <w:t>score 3/12 below primary threshold 7</w:t>
            </w:r>
          </w:p>
        </w:tc>
      </w:tr>
    </w:tbl>
    <w:p>
      <w:pPr>
        <w:pStyle w:val="Heading1"/>
      </w:pPr>
      <w:r>
        <w:t>Exhibit B. Liquidity match for this plan</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MISALIGNED</w:t>
      </w:r>
    </w:p>
    <w:p>
      <w:pPr>
        <w:pStyle w:val="ListBullet"/>
      </w:pPr>
      <w:r>
        <w:t>STRUCTURAL GAP: a participant-directed 404(c) menu assumes daily pricing and daily participant liquidity, whereas repurchases are suspended (cell 3.1). Direct DIA use requires a bridging structure: CIT sleeve, managed account, or TDF sleeve (cell 3.5).</w:t>
      </w:r>
    </w:p>
    <w:p>
      <w:pPr>
        <w:pStyle w:val="ListBullet"/>
      </w:pPr>
      <w:r>
        <w:t>Repurchase program suspended (cell 3.1): ordinary repurchase requests are not accepted, so participant liquidity depends on the program reopening. Capacity is 0%. Gating precedent on top (3.3).</w:t>
      </w:r>
    </w:p>
    <w:p>
      <w:pPr>
        <w:pStyle w:val="ListBullet"/>
      </w:pPr>
      <w:r>
        <w:t>Early repurchase economics: 5%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repurchases suspended since the April 29, 2026 amendment (3.1)</w:t>
            </w:r>
          </w:p>
        </w:tc>
        <w:tc>
          <w:tcPr>
            <w:tcW w:type="dxa" w:w="1152"/>
          </w:tcPr>
          <w:p>
            <w:r>
              <w:t>3.1</w:t>
            </w:r>
          </w:p>
        </w:tc>
      </w:tr>
      <w:tr>
        <w:tc>
          <w:tcPr>
            <w:tcW w:type="dxa" w:w="2448"/>
          </w:tcPr>
          <w:p>
            <w:r>
              <w:t>Repurchase caps</w:t>
            </w:r>
          </w:p>
        </w:tc>
        <w:tc>
          <w:tcPr>
            <w:tcW w:type="dxa" w:w="5760"/>
          </w:tcPr>
          <w:p>
            <w:r>
              <w:t>0% per month for ordinary requests (suspended), 0% per year</w:t>
            </w:r>
          </w:p>
        </w:tc>
        <w:tc>
          <w:tcPr>
            <w:tcW w:type="dxa" w:w="1152"/>
          </w:tcPr>
          <w:p>
            <w:r>
              <w:t>3.1</w:t>
            </w:r>
          </w:p>
        </w:tc>
      </w:tr>
      <w:tr>
        <w:tc>
          <w:tcPr>
            <w:tcW w:type="dxa" w:w="2448"/>
          </w:tcPr>
          <w:p>
            <w:r>
              <w:t>Annual capacity (binding cap)</w:t>
            </w:r>
          </w:p>
        </w:tc>
        <w:tc>
          <w:tcPr>
            <w:tcW w:type="dxa" w:w="5760"/>
          </w:tcPr>
          <w:p>
            <w:r>
              <w:t>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suspended</w:t>
            </w:r>
          </w:p>
        </w:tc>
        <w:tc>
          <w:tcPr>
            <w:tcW w:type="dxa" w:w="1152"/>
          </w:tcPr>
          <w:p>
            <w:r>
              <w:t>3.1</w:t>
            </w:r>
          </w:p>
        </w:tc>
      </w:tr>
      <w:tr>
        <w:tc>
          <w:tcPr>
            <w:tcW w:type="dxa" w:w="2448"/>
          </w:tcPr>
          <w:p>
            <w:r>
              <w:t>Early repurchase fee</w:t>
            </w:r>
          </w:p>
        </w:tc>
        <w:tc>
          <w:tcPr>
            <w:tcW w:type="dxa" w:w="5760"/>
          </w:tcPr>
          <w:p>
            <w:r>
              <w:t>5% if held &lt; 1 year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0%.</w:t>
      </w:r>
    </w:p>
    <w:p>
      <w:r>
        <w:t>Stressed (tail turnover x2, active turnover x1.5 vs base scenario): demand $5.4M/yr = 19.2% of the position. EXCEEDS annual wrapper capacity. Unmet demand rolls into later windows (gating-equivalent outcome).</w:t>
      </w:r>
    </w:p>
    <w:p>
      <w:r>
        <w:t>Scenario verdict (ILLUSTRATIVE, this plan): MISALIGNED.</w:t>
      </w:r>
    </w:p>
    <w:p>
      <w:pPr>
        <w:pStyle w:val="ListBullet"/>
      </w:pPr>
      <w:r>
        <w:t>Capacity: repurchases are suspended (cell 3.1): ordinary requests are not accepted. Capacity is 0% until the program reopens.</w:t>
      </w:r>
    </w:p>
    <w:p>
      <w:pPr>
        <w:pStyle w:val="ListBullet"/>
      </w:pPr>
      <w:r>
        <w:t>Scenario demand (illustrative): 10.4% of the position per year vs 0% annual wrapper capacity. EXCEEDS: repurchases are closed, so every request waits for the program to reopen.</w:t>
      </w:r>
    </w:p>
    <w:p>
      <w:pPr>
        <w:pStyle w:val="ListBullet"/>
      </w:pPr>
      <w:r>
        <w:t>Scenario verdict (ILLUSTRATIVE, this plan): misaligned.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12.5%</w:t>
            </w:r>
          </w:p>
        </w:tc>
        <w:tc>
          <w:tcPr>
            <w:tcW w:type="dxa" w:w="2880"/>
          </w:tcPr>
          <w:p>
            <w:r>
              <w:t>extracted-unverified</w:t>
            </w:r>
          </w:p>
        </w:tc>
      </w:tr>
      <w:tr>
        <w:tc>
          <w:tcPr>
            <w:tcW w:type="dxa" w:w="2880"/>
          </w:tcPr>
          <w:p>
            <w:r>
              <w:t>2.3 Total expense ratio &amp; waivers</w:t>
            </w:r>
          </w:p>
        </w:tc>
        <w:tc>
          <w:tcPr>
            <w:tcW w:type="dxa" w:w="3600"/>
          </w:tcPr>
          <w:p>
            <w:r>
              <w:t>n/a</w:t>
            </w:r>
          </w:p>
        </w:tc>
        <w:tc>
          <w:tcPr>
            <w:tcW w:type="dxa" w:w="2880"/>
          </w:tcPr>
          <w:p>
            <w:r>
              <w:t>n/a - not publicly available: no TER disclosure exists for a '34-Act non-traded REIT - zero hits for 'expense ratio' in the stripped FY2025 10-K and Q2-2026 10-Q; fee-burden components evidenced in 2.1/2.2/2.6/2.7</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5%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 breit's closest structural twin (class structure, repurchase plan, 2022-24 stress history).</w:t>
      </w:r>
    </w:p>
    <w:p>
      <w:r>
        <w:t>Cohort placement (non-traded real estate cohort): mgmt fee: at the cohort median of 1.25 (n=3, too small for percentile language) | expense ratio (bases differ, see notes): fact unavailable for this member | repurchase cap: below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24, verified 0, computed 9, partial 6, fetched 1, n/a 14,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