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Neostellar Capital Corp. (fka SuRo Capital Corp., SSSS) (LISTED BDC (exchange-traded; pre-IPO growth holdings), CIK 1509470)</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43 of 43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composite, pre-IPO and venture cohort without Neostellar Capital Corp. (members: ARK Venture Fund, Destiny Tech100 Inc)</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not applicable (exchange-traded).</w:t>
      </w:r>
    </w:p>
    <w:p>
      <w:r>
        <w:t>Stressed (tail turnover x2, active turnover x1.5 vs base scenario): demand $5.4M/yr = 19.2%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1.75% on gross assets incl. borrowings</w:t>
            </w:r>
          </w:p>
        </w:tc>
        <w:tc>
          <w:tcPr>
            <w:tcW w:type="dxa" w:w="2880"/>
          </w:tcPr>
          <w:p>
            <w:r>
              <w:t>extracted-unverified</w:t>
            </w:r>
          </w:p>
        </w:tc>
      </w:tr>
      <w:tr>
        <w:tc>
          <w:tcPr>
            <w:tcW w:type="dxa" w:w="2880"/>
          </w:tcPr>
          <w:p>
            <w:r>
              <w:t>2.2 Incentive fee terms</w:t>
            </w:r>
          </w:p>
        </w:tc>
        <w:tc>
          <w:tcPr>
            <w:tcW w:type="dxa" w:w="3600"/>
          </w:tcPr>
          <w:p>
            <w:r>
              <w:t>incentive fee: 7% hurdle</w:t>
            </w:r>
          </w:p>
        </w:tc>
        <w:tc>
          <w:tcPr>
            <w:tcW w:type="dxa" w:w="2880"/>
          </w:tcPr>
          <w:p>
            <w:r>
              <w:t>extracted-unverified</w:t>
            </w:r>
          </w:p>
        </w:tc>
      </w:tr>
      <w:t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c>
          <w:tcPr>
            <w:tcW w:type="dxa" w:w="2880"/>
          </w:tcPr>
          <w:p>
            <w:r>
              <w:t>2.4 AFFE</w:t>
            </w:r>
          </w:p>
        </w:tc>
        <w:tc>
          <w:tcPr>
            <w:tcW w:type="dxa" w:w="3600"/>
          </w:tcPr>
          <w:p>
            <w:r>
              <w:t>AFFE 0.06%</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exchange-traded: no investor-level repurchase/redemption exists, so no early-repurchase fee is possible; exit is on-exchange sale at market price</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11, partial 4,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