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evergreen private equity cohort without StepStone Private Markets (members: AMG Pantheon Fund, LLC, Ares Private Markets Fund, Hamilton Lane Private Assets Fund, KKR Private Equity Conglomerate LLC) at 9/12, relative wealth ratio 1.0206 vs the peer composite, annualized excess return 0.41%/yr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StepStone Private Markets (members: AMG Pantheon Fund, LLC, Ares Private Markets Fund, Hamilton Lane Private Assets Fund, KKR Private Equity Conglomerate LLC)</w:t>
            </w:r>
          </w:p>
        </w:tc>
        <w:tc>
          <w:tcPr>
            <w:tcW w:type="dxa" w:w="864"/>
          </w:tcPr>
          <w:p>
            <w:r>
              <w:t>9/12</w:t>
            </w:r>
          </w:p>
        </w:tc>
        <w:tc>
          <w:tcPr>
            <w:tcW w:type="dxa" w:w="3888"/>
          </w:tcPr>
          <w:p>
            <w:r>
              <w:t>relative wealth ratio 1.0206 vs the peer composite, annualized excess return 0.41%/yr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1.762, Direct Alpha 12.0%/yr,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1.91% expense ratio, AFFE excluded (FY2026, Class I)</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 typed fact for this cell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10,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