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Evaluation: Decision Memo</w:t>
      </w:r>
    </w:p>
    <w:p>
      <w:r>
        <w:rPr>
          <w:b/>
        </w:rPr>
        <w:t>Plan: US media/technology company 401(k) plan (~$570M, New York)</w:t>
        <w:br/>
      </w:r>
      <w:r>
        <w:t>Product: PIMCO Flexible Credit Income Fund (TRUE interval fund (Rule 23c-3), flexible credit, CIK 1688554)</w:t>
        <w:br/>
      </w:r>
      <w:r>
        <w:t>Date: 2026-09-04    Status: DRAFT (demo build).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process.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DIA.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2026).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1. Performance</w:t>
            </w:r>
          </w:p>
        </w:tc>
        <w:tc>
          <w:tcPr>
            <w:tcW w:type="dxa" w:w="7344"/>
          </w:tcPr>
          <w:p>
            <w:r>
              <w:t>1.1: PARTIAL: only fiscal-year points printed. Institutional Class FY (June) total returns / FYE NAV: FY2021 +28.02% ($9.68), FY2022 -10.97% ($7.89), FY2023 +0.53% ($6.81), FY2024 +13.85% ($6.94), FY2025 +14.10% ($7.11). Fund</w:t>
              <w:br/>
              <w:t>1.2: Average Annual Total Return, period ended 6/30/2025 (1Y / 5Y / since commencement 02/22/17): Institutional (PFLEX) 14.10% / 8.27% / 6.09%; Class A-1 (PFAIX) 13.52 / 7.85 / 5.51; Class A-2 (PFALX) 13.52 / 7.67 / 5.41, and</w:t>
              <w:br/>
              <w:t xml:space="preserve">1.3: Gross = net currently: FY2025 Institutional ratios show 'Expenses' 5.12% identical to 'Expenses Excluding Waivers' 5.12% (and 1.97% = 1.97% excluding interest expense) - no active waiver spread; FY2025 waived-fees table </w:t>
              <w:br/>
              <w:t>1.4: Policy: income dividends declared daily, paid monthly. Institutional per-share distributions (all From Net Investment Income; $0.00 From Net Realized Capital Gain every year): FY2021 $0.77, FY2022 $0.80, FY2023 $1.11, FY</w:t>
            </w:r>
          </w:p>
        </w:tc>
      </w:tr>
      <w:tr>
        <w:tc>
          <w:tcPr>
            <w:tcW w:type="dxa" w:w="2016"/>
          </w:tcPr>
          <w:p>
            <w:r>
              <w:t>2. Fees</w:t>
            </w:r>
          </w:p>
        </w:tc>
        <w:tc>
          <w:tcPr>
            <w:tcW w:type="dxa" w:w="7344"/>
          </w:tcPr>
          <w:p>
            <w:r>
              <w:t>2.1: RATE AND BASE - effective 4/1/2025: annual fee, payable monthly, equal to the LESSER of (i) 1.30% of average daily 'total managed assets' (total assets including reverse-repo/dollar-roll/borrowing assets, minus accrued l</w:t>
              <w:br/>
              <w:t>2.2: Documented absence: no incentive or performance fee at fund level. The fee structure is the unified management fee plus class-level distribution/servicing fees only; the prospectus Summary of Fund Expenses has no incenti</w:t>
              <w:br/>
              <w:t xml:space="preserve">2.3: FY2025 actual ratios to average net assets (Consolidated Financial Highlights, FYE 6/30/2025; gross=net, no waivers): Institutional 5.12% incl. interest expense / 1.97% excl. interest; A-1 6.45% / 2.60% (f); A-2 5.62% / </w:t>
              <w:br/>
              <w:t>2.4: No AFFE line: the Summary of Fund Expenses (486BPOS, Oct 2025) contains only Management Fees 1.75%, Distribution and/or Service (12b-1) Fees N/A-0.75%, Interest Payments on Borrowed Funds 3.15%, Other Expenses 0.01%; the</w:t>
            </w:r>
          </w:p>
        </w:tc>
      </w:tr>
      <w:tr>
        <w:tc>
          <w:tcPr>
            <w:tcW w:type="dxa" w:w="2016"/>
          </w:tcPr>
          <w:p>
            <w:r>
              <w:t>3. Liquidity</w:t>
            </w:r>
          </w:p>
        </w:tc>
        <w:tc>
          <w:tcPr>
            <w:tcW w:type="dxa" w:w="7344"/>
          </w:tcPr>
          <w:p>
            <w:r>
              <w:t>3.1: Interval fund under Rule 23c-3: FUNDAMENTAL policy of quarterly repurchase offers for between 5% and 25% of outstanding Common Shares at NAV; currently expects 5% per quarter (the minimum permitted). Cap base = aggregate</w:t>
              <w:br/>
              <w:t>3.2: Current cycle (N-23C3A, Date of Notification July 2, 2026; joint filing for CAFLX/PFLEX/EMFLX/PMFLX): PFLEX offer amount 5% of outstanding shares; Repurchase Request Deadline NYSE close (ordinarily 4:00 p.m. ET) August 5</w:t>
              <w:br/>
              <w:t>3.3: FY2025 repurchase results (N-CSR Note 14 table, all four offers at 5%): deadline 8/7/2024 - 18,406,351 shares tendered, $129,396,644 paid, 4.32% of outstanding repurchased; 11/7/2024 - 13,634,106, $98,301,900, 3.10%; 2/7</w:t>
              <w:br/>
              <w:t>3.4: As of 6/30/2025 (thousands): total investments at fair value $5,379,220 - Level 1 $416,686 (7.7%), Level 2 $3,812,308 (70.9%), Level 3 $1,150,226 (21.4%); cash $7,146. Allocation (% of investments at value): loan partici</w:t>
            </w:r>
          </w:p>
        </w:tc>
      </w:tr>
      <w:tr>
        <w:tc>
          <w:tcPr>
            <w:tcW w:type="dxa" w:w="2016"/>
          </w:tcPr>
          <w:p>
            <w:r>
              <w:t>4. Valuation</w:t>
            </w:r>
          </w:p>
        </w:tc>
        <w:tc>
          <w:tcPr>
            <w:tcW w:type="dxa" w:w="7344"/>
          </w:tcPr>
          <w:p>
            <w:r>
              <w:t>4.1: DAILY NAV: per-class NAV computed each NYSE trading day as of NYSE close (normally 4:00 p.m. ET) by dividing portfolio value plus other assets less liabilities by shares outstanding; not calculated on days the NYSE is cl</w:t>
              <w:br/>
              <w:t>4.2: As of 6/30/2025 (thousands): Investments in securities/affiliates at value - Level 1 $416,686, Level 2 $3,812,308, Level 3 $1,150,226, total $5,379,220 (L3 = 21.4% of investments). Derivative assets $14,910 (all L2); der</w:t>
              <w:br/>
              <w:t>4.3: No independent third-party valuation agent is named: the Board designated the ADVISER, PIMCO, as Valuation Designee under Rule 2a-5 for all Fund investments; PIMCO carries out the designation through internal teams and c</w:t>
              <w:br/>
              <w:t>4.4: By asset type: exchange-traded common stocks/ETFs/futures/rights/warrants at last reported sale or settlement price (Level 1); registered open-end funds at NAV (Level 1); fixed income (corporate, convertible and municipa</w:t>
            </w:r>
          </w:p>
        </w:tc>
      </w:tr>
      <w:tr>
        <w:tc>
          <w:tcPr>
            <w:tcW w:type="dxa" w:w="2016"/>
          </w:tcPr>
          <w:p>
            <w:r>
              <w:t>5. Performance Benchmarks</w:t>
            </w:r>
          </w:p>
        </w:tc>
        <w:tc>
          <w:tcPr>
            <w:tcW w:type="dxa" w:w="7344"/>
          </w:tcPr>
          <w:p>
            <w:r>
              <w:t>5.1: Documented absence of a self-declared benchmark: the shareholder report shows ICE BofA US High Yield Index (1Y 10.24%, 5Y 6.01%, since 02/22/17 4.93%, as of 6/30/2025) solely because the SEC requires an appropriate broad</w:t>
              <w:br/>
              <w:t>5.3: Candidates evaluated incl. paid/manual indices, with the peer cohort now a real lane-C candidate (7/12 - reaches threshold, outranked; retained as viable alternate). Full scoring + rejection ledger in the selection artif</w:t>
              <w:br/>
              <w:t>5.4: Peer cohort private_credit (n=5: cliffwater_cclfx, bcred, pflex, cion_ares, ocic). Equal-weight annual composite on printed fiscal-year returns for years with 2 or more reporting members: 2021 (n=5), 2022 (n=5), 2023 (n=</w:t>
              <w:br/>
              <w:t>5.5: PME inputs (computed): window 2017-02-23 to 2026-08-13; flows [-1 at start, 1.7811 at end]; index BKLN adj-close daily-anchored. KS-PME 1.2639, Direct Alpha 2.5%/yr.</w:t>
            </w:r>
          </w:p>
        </w:tc>
      </w:tr>
      <w:tr>
        <w:tc>
          <w:tcPr>
            <w:tcW w:type="dxa" w:w="2016"/>
          </w:tcPr>
          <w:p>
            <w:r>
              <w:t>6. Complexity</w:t>
            </w:r>
          </w:p>
        </w:tc>
        <w:tc>
          <w:tcPr>
            <w:tcW w:type="dxa" w:w="7344"/>
          </w:tcPr>
          <w:p>
            <w:r>
              <w:t>6.1: Massachusetts business trust; closed-end management investment company continuously offering shares; interval fund (Rule 23c-3 fundamental policy); DIVERSIFIED; commenced operations 02/22/2017. Five share classes (Instit</w:t>
              <w:br/>
              <w:t>6.2: Flexible multi-sector credit: objective is attractive risk-adjusted returns and current income across global credit - corporate debt (fixed/variable/floating bonds, loans, convertibles and contingent convertibles, stress</w:t>
              <w:br/>
              <w:t>6.3: Affiliation web: PIMCO is a majority-owned subsidiary of Allianz Asset Management; Distributor PIMCO Investments LLC is a wholly-owned PIMCO subsidiary and retained PFLEX CDSCs ($11,308 FY2025). SEC co-investment exempti</w:t>
              <w:br/>
              <w:t>6.4: Form 1099-DIV (literally printed): tax character of all dividends/distributions reported on Form 1099-DIV at each calendar year end; 'In January 2026, you will be advised on IRS Form 1099-DIV as to the federal tax status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Senior loan investable proxy (BKLN, for Morningstar LSTA class) (score 9/12)</w:t>
      </w:r>
    </w:p>
    <w:p>
      <w:r>
        <w:t>Window 2018-07-18 to 2026-07-17 (clipped: proxy series begins 2018-07-18, proxy series ends 2026-07-17): fund 5.74%/yr vs benchmark 4.38%/yr, KS-PME 1.1089, Direct Alpha 1.3%/yr. Disclosure: PME and alpha computed on appraisal-lagged NAVs are window-sensitive and can be smoothing-flattered. Conclusions should be read with the methodology's window-sensitivity analysis.</w:t>
      </w:r>
    </w:p>
    <w:p>
      <w:pPr>
        <w:pStyle w:val="ListBullet"/>
      </w:pPr>
      <w:r>
        <w:t>strategy_match 2/3: broadly syndicated loans vs direct lending (close cousin, not twin). Fund itself declares NO benchmark (5.1), so the engine constructs one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PME / Direct Alpha vs BKLN (score 9/12)</w:t>
      </w:r>
    </w:p>
    <w:p>
      <w:r>
        <w:t>Window 2018-07-18 to 2026-07-17 (clipped: proxy series begins 2018-07-18, proxy series ends 2026-07-17): fund 5.74%/yr vs benchmark 4.38%/yr, KS-PME 1.1089, Direct Alpha 1.3%/yr. Disclosure: PME and alpha computed on appraisal-lagged NAVs are window-sensitive and can be smoothing-flattered. Conclusions should be read with the methodology's window-sensitivity analysis.</w:t>
      </w:r>
    </w:p>
    <w:p>
      <w:pPr>
        <w:pStyle w:val="ListBullet"/>
      </w:pPr>
      <w:r>
        <w:t>strategy_match 2/3: wealth-ratio PME vs investable loan proxy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Peer cohort: private_credit (cclfx, bcred, pflex, cion_ares, ocic)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9/12 (only two slots). Retained in log as viable alternate</w:t>
            </w:r>
          </w:p>
        </w:tc>
      </w:tr>
      <w:tr>
        <w:tc>
          <w:tcPr>
            <w:tcW w:type="dxa" w:w="3456"/>
          </w:tcPr>
          <w:p>
            <w:r>
              <w:t>Cliffwater Direct Lending Index (CDLI)</w:t>
            </w:r>
          </w:p>
        </w:tc>
        <w:tc>
          <w:tcPr>
            <w:tcW w:type="dxa" w:w="1152"/>
          </w:tcPr>
          <w:p>
            <w:r>
              <w:t>6/12</w:t>
            </w:r>
          </w:p>
        </w:tc>
        <w:tc>
          <w:tcPr>
            <w:tcW w:type="dxa" w:w="4752"/>
          </w:tcPr>
          <w:p>
            <w:r>
              <w:t>score 6/12 below primary threshold 7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COHORT. Cohort: Private credit (interval fund + non-traded BDC) (n=5). Membership rationale: Flexible multi-sector credit in the SAME wrapper as cclfx (interval, quarterly 5%). A wrapper twin with a broader credit mandate (loans, structured, EM). Mandate breadth is the disclosed mismatch.</w:t>
      </w:r>
    </w:p>
    <w:p>
      <w:r>
        <w:t>Cohort placement (private_credit, R4 phrasing): mgmt fee: 90th percentile of cohort (n=5), above the median of 1.25 | expense ratio (bases differ, see notes): 30th percentile of cohort (n=5), below the median of 3.76 | repurchase cap: 50th percentile of cohort (n=5), at the median of 5. Stats and per-member values in data/cohorts/private_credit.json, membership rationales in data/facts.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[bcred: BDC 150% asset-coverage regime - materially MORE leverage headroom than 1940-Act funds; cion_ares: 1940-Act asset-coverage limits; cliffwater_cclfx: 1940-Act asset-coverage limits; ocic: BDC 150% asset-coverage regime - materially MORE leverage headroom than 1940-Act funds; pflex: 1940-Act asset-coverage limits]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[bcred: board-discretionary share repurchases; cion_ares: Rule 23c-3 OBLIGATION (board cannot skip a window); cliffwater_cclfx: Rule 23c-3 OBLIGATION (board cannot skip a window); ocic: board-discretionary share repurchases; pflex: Rule 23c-3 OBLIGATION (board cannot skip a window)]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[bcred: quarterly NAV determinations; cion_ares: daily NAV; cliffwater_cclfx: daily NAV; ocic: quarterly NAV determinations; pflex: daily NAV]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11, extracted: 27, fetched: 1, n/a: 14, partial: 1. Cells marked extracted-unverified or computed await independent verification. Verified cells have been independently re-checked. Cells marked structured come directly from machine-readable regulatory data (N-CEN structured datasets, XBRL company facts) with the source dataset cited. No model judgment is involved.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