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Hamilton Lane Private Assets Fund (tender-offer fund ('40 Act); NOT an interval fund, CIK 1803491)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PARTIAL: Class I NAV/share FY2022-FY2026: 12.35 / 14.14 / 15.81 / 17.55 / 19.77 (fiscal yr end Mar 31). Monthly series still to assemble from fact sheets.</w:t>
              <w:br/>
              <w:t>1.2: Class I avg annual total returns as of 3/31/2026: 1yr 14.60% / 3yr 13.28% / 5yr 15.31% / since inception 15.36%. FY total returns FY26-FY22: 14.60 / 12.59 / 12.68 / 16.10 / 20.77 (%).</w:t>
              <w:br/>
              <w:t>1.3: Class I gross vs net expense ratios (Consolidated Financial Highlights, FYE Mar 31): FY2026 gross 3.40% / net 3.40%; FY2025 2.93% / 2.93%; FY2024 4.26% / 4.26% - identical, zero spread ('Expense Recoupment/(Reimbursement</w:t>
              <w:br/>
              <w:t>1.4: FY2026 (year ended 3/31/2026) distributions to investors totaled $88,161,148 (Class I $52,227,996; Class R $34,331,024; Class D $1,602,128); prior-year total $42,458,537 (Consolidated Statements of Changes in Net Assets)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 xml:space="preserve">2.1: 1.40% annualized on MANAGED ASSETS (not net assets - includes leverage), calculated monthly, paid quarterly. NOTE: fee-base trap from dictionary 2.1 confirmed in the wild. Fee history note (crosscheck): 2021 486BPOS fee </w:t>
              <w:br/>
              <w:t>2.2: CURRENT TERMS (Investment Management Agreement approved by shareholders March 14, 2025; FY2026 N-CSR): Incentive Fee = 10.00% of the excess of quarterly NET PROFITS over the then-balance of the Loss Recovery Account (mem</w:t>
              <w:br/>
              <w:t>2.3: Class I gross/net expenses FY26 3.40%/3.40%, FY25 2.93/2.93, FY24 4.26/4.26. Expense Limit: 1.45% R / 0.75% I / 1.00% D of avg daily net assets, EXCLUDING mgmt fee, incentive fee, AFFE, interest, taxes.</w:t>
              <w:br/>
              <w:t>2.4: 486BPOS (2021-dated) fee tables include an 'Acquired Fund Fees and Expenses' line of 0.49% for each class (columns Class R / Class I / Class D). With-leverage table: Total Annual Expenses 4.85% / 4.15% / 4.40%; without-l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Quarterly tender offers (board-approved, NOT Rule 23c-3 interval). Most recent: up to 5.00% of net assets = approx $290,123,923 (approx 15,084,500 shares), optional +2.00% upsize without amendment. Implies fund net asset</w:t>
              <w:br/>
              <w:t>3.2: Q2-2026 tender mechanics (SC TO-I filed 2026-05-06; Rule 13e-4 issuer tender offer, all three classes): SIZE up to ~5.00% of 3/31/2026 net assets (~$290,123,923, ~15,084,500 shares; NAV/share 3/31/26: Class D $19.27, I $</w:t>
              <w:br/>
              <w:t xml:space="preserve">3.3: CONTINUITY: SC TO-I Item 5 states the Fund 'has previously offered to repurchase Shares ... on a quarterly basis beginning with the quarter ended June 30, 2021' - an unbroken quarterly tender record since the first full </w:t>
              <w:br/>
              <w:t>3.4: As of March 31, 2026: total net assets $5,785,749,989. Composition (% of net assets, Consolidated Schedule of Investments): Investments 105.9% — Direct Investments 45.5% (Direct Credit 1.4%, Direct Equity 44.1%), Seconda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Effective September 8, 2022, pursuant to Rule 2a-5, the Board designated the Adviser (Hamilton Lane Advisors, L.L.C.) as its valuation designee ('Valuation Designee') to perform fair value determinations, and approved ne</w:t>
              <w:br/>
              <w:t>4.2: ASC 820 hierarchy at 3/31/2026: Level I $529,492,964 (all Short Term Investments); Level II $0 (fund held no Level II securities); Level III $562,354,022 (Direct Credit $79,199,618 + Direct Equity $455,391,311 + Secondar</w:t>
              <w:br/>
              <w:t>4.3: Independent valuation firms are used but NOT named: N-CSR states the Adviser 'utilizes independent valuation firms to provide third-party valuation consulting services for Direct Investments' (same sentence appears in 48</w:t>
              <w:br/>
              <w:t xml:space="preserve">4.4: Note 4 quantitative unobservable-inputs table as of 3/31/2026 (Level III only, $562,354,022 total; the $5,037,585,848 valued at NAV practical expedient - i.e., the bulk of the portfolio - is EXCLUDED from this table and 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Stated comparators in shareholder report: S&amp;P 500 Index and MSCI World Index (defined in Fund Performance footnotes).</w:t>
              <w:br/>
              <w:t>5.3: Alt asset-class index candidates evaluated by the engine (incl. paid/manual ones deliberately kept in the menu and rejected with reasons): Listed private equity investable proxy (PSP) (9/12) | MSCI World investable proxy</w:t>
              <w:br/>
              <w:t>5.4: Peer cohort evergreen_pe (n=5: hl_paf, stepstone_spm, kkr_kpec, ares_pmf, amg_pantheon). Equal-weight annual composite on printed fiscal-year returns for years with 2 or more reporting members: 2022 (n=3), 2023 (n=5), 20</w:t>
              <w:br/>
              <w:t>5.5: PME inputs (computed, primary comparison): window 2021-03-31 to 2026-03-31; fund growth 2.0386x vs index 1.0419x; flows = [-1 at window start, terminal growth at end]; index = primary candidate series (adj close). KS-PME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 xml:space="preserve">6.1: Legal form: Delaware statutory trust (organized February 7, 2020), registered non-diversified closed-end management investment company; RIC under Subchapter M (taxable year ends September 30; fiscal year ends March 31). </w:t>
              <w:br/>
              <w:t>6.2: 80% policy (486BPOS, 2021-dated): under normal circumstances at least 80% of net assets (plus borrowings for investment purposes) in 'private assets' = Direct Investments (excluding listed PE), Portfolio Funds, Secondary</w:t>
              <w:br/>
              <w:t>6.3: 486BPOS 'CONFLICTS OF INTEREST' section (2021) discloses under subheadings: Affiliates (adviser/affiliates may advise competing vehicles, no obligation to refer opportunities; shareholders deemed to waive conflict claims</w:t>
              <w:br/>
              <w:t xml:space="preserve">6.4: Form 1099-DIV (fund is a RIC): shareholders receive IRS Form 1099-DIV after each calendar year showing ordinary income / qualified dividend income / long-term capital gain character; cost basis reported on Form 1099 for 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2021-03-31 to 2026-03-31: fund 15.31%/yr vs benchmark 0.83%/yr; KS-PME 1.9565; Direct Alpha 14.37%/yr.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2021-03-31 to 2026-03-31: fund 15.31%/yr vs benchmark 10.48%/yr; KS-PME 1.2386; Direct Alpha 4.37%/yr.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Evergreen private equity ('40-Act funds + '34-Act conglomerate) (n=5). Membership rationale: Evergreen PE fund-of-funds/secondaries in a tender-offer wrapper - founding cohort member.</w:t>
      </w:r>
    </w:p>
    <w:p>
      <w:r>
        <w:t>Cohort placement (evergreen_pe, R4 phrasing): mgmt fee: 50th percentile of cohort (n=5), at the median of 1.4 | expense ratio (bases differ - see notes): 70th percentile of cohort (n=5), above the median of 3.19 | repurchase cap: 12th percentile of cohort (n=4), at the median of 5. Stats + caveats in the cohort artifact; the prior universe-of-6 percentile is superseded by cohort placement.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9, extracted: 28, fetched: 1, n/a: 15, partial: 1.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