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Global management-consulting firm profit-sharing/401(k) plan (~$9.8B, NY)</w:t>
      </w:r>
      <w:r>
        <w:t xml:space="preserve">. Product: Neostellar Capital Corp. (fka SuRo Capital Corp., SSSS) (LISTED BDC (exchange-traded, pre-IPO growth holdings), CIK 1509470). </w:t>
      </w:r>
      <w:r>
        <w:t>Date: 2026-09-04. Status: DRAFT until the committee signs page one. Cells marked extracted-unverified pend independent verification.</w:t>
      </w:r>
    </w:p>
    <w:p>
      <w:pPr>
        <w:pStyle w:val="Heading1"/>
        <w:keepNext/>
      </w:pPr>
      <w:r>
        <w:t>Decision summary</w:t>
      </w:r>
    </w:p>
    <w:p>
      <w:r>
        <w:t>Structural liquidity verdict: ALIGNED-MECHANICAL (dealing terms on record, plan-independent). Scenario verdict under Global management-consulting firm profit-sharing/401(k) plan (~$9.8B, NY) (ILLUSTRATIVE): ALIGNED-MECHANICAL.</w:t>
      </w:r>
    </w:p>
    <w:p>
      <w:r>
        <w:t>Benchmark: escalated.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Peer comparison (paragraphs (g) and (h)): composite refused, fewer than 3 peers remain after leaving Neostellar Capital Corp. out (2: Destiny Tech100 Inc, ARK Venture Fund).</w:t>
      </w:r>
    </w:p>
    <w:p>
      <w:r>
        <w:t>Evidence coverage: 40 of 45 resolved: 27 evidenced, 13 computed, 5 partial, 10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 (benchmark selection)</w:t>
      </w:r>
    </w:p>
    <w:p>
      <w:pPr>
        <w:pStyle w:val="ListBullet"/>
      </w:pPr>
      <w:r>
        <w:t>Peer comparison: composite refused, fewer than 3 peers remain after leaving Neostellar Capital Corp. out (2: Destiny Tech100 Inc, ARK Venture Fund) (cell 1.12)</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15 years of history since 2011-01-06 (cell 1.11).</w:t>
            </w:r>
          </w:p>
          <w:p>
            <w:r>
              <w:t>Facts on record: 1.11 inception 2011-01-06, 15 years.</w:t>
            </w:r>
          </w:p>
          <w:p>
            <w:r>
              <w:t>1.1 Net total return series (extracted-unverified): Net (after-expense) total return series, single common class, as printed in Note 8 Financial Highlights: NAV basis 2021 +30.25% / 2022 (36.01)% / 2023 +8.12% / 2024 (16.40)% / 2025 +28.59%, market-value basis 2021 +60.05% / 2022 (69.45)% / 2023 +3.68% / 2024 +49.24% / 2025 +69.05%.</w:t>
            </w:r>
          </w:p>
          <w:p>
            <w:r>
              <w:t>1.2 Trailing &amp; calendar-year returns (extracted-unverified): Primary class = the single class of common stock, two printed bases: NAV total return and market-value total return (see 1.1 for the full calendar-year series 2021-2025 and H1-2026).</w:t>
            </w:r>
          </w:p>
          <w:p>
            <w:r>
              <w:t>1.3 Gross vs net spread (partial): PARTIAL: no gross-of-fees return series is printed anywhere in the 10-K/10-Q/N-2 - only net 'Total return based on net asset value/market value'.</w:t>
            </w:r>
          </w:p>
          <w:p>
            <w:r>
              <w:t>1.4 Distribution history &amp; composition (extracted-unverified): Full lifetime distribution table printed (formation through 12/31/2025): total $12.60/share declared.</w:t>
            </w:r>
          </w:p>
          <w:p>
            <w:r>
              <w:t>1.5 Underlying sleeve/GP performance (partial): PARTIAL: no underlying fund/SPV IRR or return series is printed, filings disclose SPV positions at cost vs fair value plus distribution facts, not vehicle-level returns.</w:t>
            </w:r>
          </w:p>
          <w:p>
            <w:r>
              <w:t>1.6 Volatility &amp; max drawdown (computed): Computed from the held daily series NSLR (Yahoo daily close, a market price that includes premium and discount dynamics), 2016-08-15 to 2026-08-14: annualized volatility 47.5% on 120 monthly returns and 47.6% on daily returns, max drawdown -81.97% on the daily series (peak 2021-08-16 to trough 2023-03-17).</w:t>
            </w:r>
          </w:p>
          <w:p>
            <w:r>
              <w:t>1.8 Risk-adjusted metrics (PME etc) (computed): No KS-PME or Direct Alpha computable for the meaningful-benchmark slot: NO MEANINGFUL BENCHMARK CONSTRUCTIBLE for this pre-IPO and venture fund: its price is premium-driven and decoupled from NAV, so every candidate benchmarks the premium, not the portfolio.</w:t>
            </w:r>
          </w:p>
          <w:p>
            <w:r>
              <w:t>1.9 Stress-window performance (computed): Computed stress-window performance from the held daily series (adjusted close, distributions reinvested).</w:t>
            </w:r>
          </w:p>
          <w:p>
            <w:r>
              <w:t>1.10 Market price &amp; premium/discount (extracted-unverified): LISTED BDC, full quarterly premium/discount table printed (10-K Item 5 for FY2023-FY2025, N-2 adds 2026 interim).</w:t>
            </w:r>
          </w:p>
          <w:p>
            <w:r>
              <w:t>1.11 Track record &amp; manager tenure (extracted-unverified): Track record: inception (development stage) 1/6/2011, BDC operations since IPO May 2011, investment operations since Q2 2011 - a 15-year listed record through 2026.</w:t>
            </w:r>
          </w:p>
          <w:p>
            <w:r>
              <w:t>1.12 Peer comparison (paragraphs (g) and (h)) (computed): Peer comparison (paragraphs (g) and (h)): pre-IPO and venture cohort, peers Destiny Tech100 Inc, ARK Venture Fund, fund return basis Yahoo adjusted close, a market price with distributions reinvested, not NAV (NSLR).</w:t>
            </w:r>
          </w:p>
          <w:p>
            <w:r>
              <w:t>Not applicable: 1.7 market-price series, appraisal-series diagnostic inapplicable.</w:t>
            </w:r>
          </w:p>
        </w:tc>
      </w:tr>
      <w:tr>
        <w:trPr>
          <w:cantSplit/>
        </w:trPr>
        <w:tc>
          <w:tcPr>
            <w:tcW w:type="dxa" w:w="1728"/>
          </w:tcPr>
          <w:p>
            <w:r>
              <w:t>2. Fees (h)</w:t>
            </w:r>
          </w:p>
        </w:tc>
        <w:tc>
          <w:tcPr>
            <w:tcW w:type="dxa" w:w="7632"/>
          </w:tcPr>
          <w:p>
            <w:r>
              <w:t>On fees and expenses (h), the management fee is 1.75% on gross assets incl. borrowings (cell 2.1), the incentive fee is 7% hurdle (cell 2.2) and the expense ratio is 9.46% (net operating expenses under internal management, the fee regime changed 2026-07-15 (FY2025)) (cell 2.3).</w:t>
            </w:r>
          </w:p>
          <w:p>
            <w:r>
              <w:t>Facts on record: 2.1 1.75% on gross assets incl. borrowings. 2.2 incentive fee: 7% hurdle. 2.3 9.46% expense ratio, net operating expenses under internal management, the fee regime changed 2026-07-15 (FY2025). 2.4 AFFE 0.06%.</w:t>
            </w:r>
          </w:p>
          <w:p>
            <w:r>
              <w:t>2.1 Management fee (rate AND base) (extracted-unverified): CURRENT (from Effective Date 7/15/2026): Base Management Fee RATE 1.75% per annum, BASE = GROSS assets (leverage-inclusive fee base, includes assets bought with borrowings), payable monthly in arrears, computed on average gross assets at the end of the two most recently completed calendar quarters, adjusted for equity/debt raises, repurchases or redemptions in the current quarter.</w:t>
            </w:r>
          </w:p>
          <w:p>
            <w:r>
              <w:t>2.2 Incentive fee terms (extracted-unverified): Two-part Incentive Fee (new with 7/15/2026 Externalization, none existed while internally managed).</w:t>
            </w:r>
          </w:p>
          <w:p>
            <w:r>
              <w:t>2.3 Total expense ratio &amp; waivers (extracted-unverified): Two regimes printed.</w:t>
            </w:r>
          </w:p>
          <w:p>
            <w:r>
              <w:t>2.4 AFFE (extracted-unverified): AFFE line printed in the N-2 fee table: Acquired fund fees and expenses 0.06% of net assets attributable to common stock (estimate), footnote 10 defines it as 'the estimated indirect fees and expenses attributable to our investments in other investment companies and private funds (including special purpose vehicles), presented in accordance with Item 3 of Form N-2', i.e., the second-layer SPV economics of cell 2.5 surface here.</w:t>
            </w:r>
          </w:p>
          <w:p>
            <w:r>
              <w:t>2.5 Underlying GP economics (extracted-unverified): SPV-by-SPV economics ARE printed (10-Q SOI footnotes, 6/30/2026): ARK Type One Deep Ventures Fund LLC (OpenAI): 1% management fee/yr + 10% incentive fee, NO hurdle (fees adjust cost basis), IH10, LLC (VAST Data): no management or incentive fee (prepaid operating expenses), Magnetar Opportunity 2025-4 LP (TensorWave, Magnetar-affiliated vehicle): no management fee, 20% incentive fee over 15% annual IRR hurdle, CW Opportunity 2 LP (CoreWeave): no management fee, 20% incentive fee over 15% IRR hurdle, 1789 Capital Nirvana II LP (Plaid, consolidated wholly-owned SPV): 7% origination fee paid at investment.</w:t>
            </w:r>
          </w:p>
          <w:p>
            <w:r>
              <w:t>2.6 Loads &amp; servicing fees (extracted-unverified): No loads or servicing fees on the shares themselves, investors buy/sell on Nasdaq at market (brokerage commissions are investor-side).</w:t>
            </w:r>
          </w:p>
          <w:p>
            <w:r>
              <w:t>2.9 Fee peer percentile (computed): Cohort placement (pre-IPO and venture cohort): mgmt fee: below the cohort median of 2.5 (n=3, too small for percentile language) | expense ratio (bases differ, see notes): above the cohort median of 4.53 (n=3, too small for percentile language) | repurchase cap: fact unavailable for this member.</w:t>
            </w:r>
          </w:p>
          <w:p>
            <w:r>
              <w:t>Not applicable: 2.7 no investor-level repurchase/redemption exists, so no early-repurchase fee is possible, exit is on-exchange sale at market price. 2.8 CIT only. 2.10 requires the plan committee's own value-for-fees determination, workflow output, not public product data (inputs live in cells 2.1-2.7).</w:t>
            </w:r>
          </w:p>
        </w:tc>
      </w:tr>
      <w:tr>
        <w:trPr>
          <w:cantSplit/>
        </w:trPr>
        <w:tc>
          <w:tcPr>
            <w:tcW w:type="dxa" w:w="1728"/>
          </w:tcPr>
          <w:p>
            <w:r>
              <w:t>3. Liquidity (i)</w:t>
            </w:r>
          </w:p>
        </w:tc>
        <w:tc>
          <w:tcPr>
            <w:tcW w:type="dxa" w:w="7632"/>
          </w:tcPr>
          <w:p>
            <w:r>
              <w:t>On liquidity (i), the wrapper deals by daily on-exchange dealing, no fund-level cap (3.1), no proration is identified in the filings on record (cell 3.3), the plan's filed outflow proxy is 6.5% of the position per year (the plan record) and the structural verdict is aligned-mechanical with the scenario verdict aligned-mechanical under this plan (ILLUSTRATIVE, cell 3.9).</w:t>
            </w:r>
          </w:p>
          <w:p>
            <w:r>
              <w:t>Facts on record: 3.1 on-exchange dealing. 3.3 no gating identified in the filings on record. 3.9 structural verdict aligned-mechanical, plan-independent.</w:t>
            </w:r>
          </w:p>
          <w:p>
            <w:r>
              <w:t>3.1 Wrapper liquidity terms (extracted-unverified): Listed BDC: continuous intraday exchange liquidity on the Nasdaq Global Select Market, cadence: any trading day, cap: none (market depth only), base: market price, not NAV, mechanism: open-market sale through a broker.</w:t>
            </w:r>
          </w:p>
          <w:p>
            <w:r>
              <w:t>3.2 Repurchase mechanics (extracted-unverified): No shareholder redemption mechanics exist (exchange exit only).</w:t>
            </w:r>
          </w:p>
          <w:p>
            <w:r>
              <w:t>3.3 Repurchase history (extracted-unverified): As disclosed: NO gating events possible (no investor redemption right to gate) and no buyback activity recently, zero shares repurchased under the Share Repurchase Program in FY2025 and FY2024, Q4-2025 monthly table all zeros, $25.0M remained authorized at 12/31/2025 of the $64.3M cumulative cap.</w:t>
            </w:r>
          </w:p>
          <w:p>
            <w:r>
              <w:t>3.4 Portfolio liquidity profile (extracted-unverified): Deeply illiquid asset base inside a liquid wrapper: at 6/30/2026, Level 3 = $404,132,245 of $405,851,701 total investments (99.6%, arithmetic), publicly traded portfolio companies just $1.7M.</w:t>
            </w:r>
          </w:p>
          <w:p>
            <w:r>
              <w:t>3.6 Fund leverage &amp; facilities (extracted-unverified): Fixed-rate unsecured leverage, 200% asset-coverage regime (BDC baseline, the Company states it does NOT currently intend to seek approval to drop to 150%).</w:t>
            </w:r>
          </w:p>
          <w:p>
            <w:r>
              <w:t>3.7 Plan participant liquidity demand (computed, this plan): Plan-side demand profile for this plan (Form 5500, plan year 2024-01-01 to 2024-12-31): 20,253 separated participants with balances = 58.2% of 34,826 accounts (the near-term liquidity tail), 14,729 active, 154 retirees in pay status, filed outflow proxy 6.5% of beginning net assets (Schedule H totals).</w:t>
            </w:r>
          </w:p>
          <w:p>
            <w:r>
              <w:t>3.8 Redemption stress test (computed, this plan): Redemption stress test not applicable: the wrapper is exchange-traded with continuous dealing, so there is no wrapper capacity to stress.</w:t>
            </w:r>
          </w:p>
          <w:p>
            <w:r>
              <w:t>3.9 Product-to-plan liquidity match (computed, this plan): Structural liquidity verdict ALIGNED-MECHANICAL (dealing terms on record, plan-independent). Scenario verdict under this plan (ILLUSTRATIVE): ALIGNED-MECHANICAL. Source: this plan's liquidity match.</w:t>
            </w:r>
          </w:p>
          <w:p>
            <w:r>
              <w:t>Not applicable: 3.5 CIT only.</w:t>
            </w:r>
          </w:p>
        </w:tc>
      </w:tr>
      <w:tr>
        <w:trPr>
          <w:cantSplit/>
        </w:trPr>
        <w:tc>
          <w:tcPr>
            <w:tcW w:type="dxa" w:w="1728"/>
          </w:tcPr>
          <w:p>
            <w:r>
              <w:t>4. Valuation (j)</w:t>
            </w:r>
          </w:p>
        </w:tc>
        <w:tc>
          <w:tcPr>
            <w:tcW w:type="dxa" w:w="7632"/>
          </w:tcPr>
          <w:p>
            <w:r>
              <w:t>On valuation (j), the holder transacts at the market price struck quarterly (the registry descriptors) and the auditor is CBIZ CPAs P.C. (cell 4.5).</w:t>
            </w:r>
          </w:p>
          <w:p>
            <w:r>
              <w:t>Facts on record: 4.5 CBIZ CPAs P.C.</w:t>
            </w:r>
          </w:p>
          <w:p>
            <w:r>
              <w:t>4.1 Valuation policy &amp; NAV frequency (extracted-unverified): QUARTERLY valuation cadence: 'The Company values its assets on a quarterly basis, or more frequently if required under the 1940 Act.' Board-determined fair value in good faith under Rule 2a-5 and ASC 820, assisted by a Valuation Committee, executive officers/investment professionals prepare valuations from most recent portfolio-company financials/forecasts, independent valuation firm engaged for non-traded names (4.3), fair-value hierarchy classifications reviewed quarterly.</w:t>
            </w:r>
          </w:p>
          <w:p>
            <w:r>
              <w:t>4.2 Fair-value hierarchy (L1/2/3) (extracted-unverified): Printed hierarchy (10-Q Note 4): at 6/30/2026 Level 1 $1,719,456 (public common stock + options) / Level 2 $0 / Level 3 $404,132,245 / total $405,851,701 - Level 3 = 99.6% (arithmetic).</w:t>
            </w:r>
          </w:p>
          <w:p>
            <w:r>
              <w:t>4.3 Independent valuation agent (extracted-unverified): Independent valuation firm IS engaged but NOT named in any of the three filings: engaged 'to perform independent valuations of our investments that are not publicly traded or for which there are no readily available market quotations', and may also be engaged for secondary-market-traded names with thin trading or wide trade disparity.</w:t>
            </w:r>
          </w:p>
          <w:p>
            <w:r>
              <w:t>4.4 Methodology by asset type (extracted-unverified): Quantitative Level 3 inputs table printed (10-K, 12/31/2025): Preferred stock in private companies $169.6M, Market Approach (revenue multiples 0.52x-7.95x, wtd avg 3.47x, precedent transactions 25%-100%, wa 76%) + PWERM (revenue multiples 1.42x-5.60x, dissolution risk 100%, precedent transaction 90%), Common stock $46.7M, Market Approach (revenue multiples 0.57x-5.23x, wa 4.99x, precedent 100%, AFFO multiple 8.42x) + PWERM, Options $4.2M, Option Pricing Model (term 0.50-1.36 yrs, wa 0.88, volatility 45-50%, wa 48%) + PWERM + Market Approach, Debt investments $0.76M, Market Approach (revenue multiples 0.57x-5.05x, precedent 25%).</w:t>
            </w:r>
          </w:p>
          <w:p>
            <w:r>
              <w:t>4.5 Auditor &amp; opinion (extracted-unverified): Auditor (signature block): CBIZ CPAs P.C., Boston, MA, PCAOB ID 199 - report dated March 11, 2026, on FY2025 statements and the senior-securities table, tenure line: auditor since 2019, '(such date takes into account the acquisition of the attest business of Marcum LLP by CBIZ CPAs P.C. effective November 1, 2024)'.</w:t>
            </w:r>
          </w:p>
          <w:p>
            <w:r>
              <w:t>4.6 NAV restatement history (extracted-unverified): None identified: searched 'restat' and 'error correction' across all three on-disk filings (10-K FY2025, 10-Q Q2-2026, N-2 2026-07-31).</w:t>
            </w:r>
          </w:p>
          <w:p>
            <w:r>
              <w:t>4.7 Premium/discount check (computed): Premium or discount vs the printed quarterly NAV: -21.7% at the 2026-08-14 close ($10.52 vs NAV $13.44 at 2026-06-30).</w:t>
            </w:r>
          </w:p>
          <w:p>
            <w:r>
              <w:t>Not applicable: 4.8 market-price series, NAV quarterly only. 4.9 CIT only.</w:t>
            </w:r>
          </w:p>
        </w:tc>
      </w:tr>
      <w:tr>
        <w:trPr>
          <w:cantSplit/>
        </w:trPr>
        <w:tc>
          <w:tcPr>
            <w:tcW w:type="dxa" w:w="1728"/>
          </w:tcPr>
          <w:p>
            <w:r>
              <w:t>5. Performance Benchmarks (k)</w:t>
            </w:r>
          </w:p>
        </w:tc>
        <w:tc>
          <w:tcPr>
            <w:tcW w:type="dxa" w:w="7632"/>
          </w:tcPr>
          <w:p>
            <w:r>
              <w:t>On performance benchmarks (k), no meaningful benchmark could be constructed from the data held (cell 5.6).</w:t>
            </w:r>
          </w:p>
          <w:p>
            <w:r>
              <w:t>5.1 Self-declared benchmark (extracted-unverified): Self-declared comparison indices WITH a printed no-suitable-benchmark disclaimer: the 10-K Item 5 Performance Graph compares cumulative total stockholder return vs the S&amp;P 500 Stock Index and the Nasdaq Stock Index for the five years ended 12/31/2025, expressly because the Company does not believe an appropriate strategy-matched index exists.</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pre-IPO and venture cohort (n=3: Destiny Tech100 Inc, Neostellar Capital Corp., ARK Venture Fund).</w:t>
            </w:r>
          </w:p>
          <w:p>
            <w:r>
              <w:t>5.5 PME / Direct Alpha inputs (computed): No public market series comparison is computable on held data, so no PME inputs exist for this product: NO MEANINGFUL BENCHMARK CONSTRUCTIBLE for this pre-IPO and venture fund: its price is premium-driven and decoupled from NAV, so every candidate benchmarks the premium, not the portfolio.</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listed BDC (cell 6.1) and cells 6.6 and 6.8 are advisor-completed under paragraph (l).</w:t>
            </w:r>
          </w:p>
          <w:p>
            <w:r>
              <w:t>Facts on record: 6.1 listed BDC.</w:t>
            </w:r>
          </w:p>
          <w:p>
            <w:r>
              <w:t>6.1 Structure map (extracted-unverified): Structure map: Maryland corporation (inc. 1/6/2011), non-diversified closed-end company electing BDC status under the 1940 Act, RIC under Subchapter M, single class of listed common stock (Nasdaq: NSLR, fka SSSS/GSVC) + listed 6.00% Notes (SSSSL) + 6.50% Convertible Notes 2029 + 6.50% Magnetar redeemable note.</w:t>
            </w:r>
          </w:p>
          <w:p>
            <w:r>
              <w:t>6.2 Strategy &amp; instrument complexity (extracted-unverified): Strategy: pre-IPO/late-stage growth equity in 'rapidly growing venture capital-backed emerging companies', acquired via direct rounds, private secondary marketplaces, selling-stockholder negotiations, and SPVs/funds, opportunistically SPAC founders equity/warrants/forward purchase agreements/PIPEs and private credit, select public equities.</w:t>
            </w:r>
          </w:p>
          <w:p>
            <w:r>
              <w:t>6.3 Conflicts &amp; affiliated transactions (extracted-unverified): Dense post-Externalization conflict set, all printed: (1) Investment Advisory and Administration Agreements 'were not negotiated on an arm's-length basis', adviser professionals who negotiated had economic interests, (2) NO co-investment exemptive relief yet: N-2 (7/31/2026) states relief 'we have not yet obtained', per the 10-Q, the Company, the Adviser and affiliated funds/accounts filed the exemptive application with the SEC on 8/3/2026 ('There can be no assurance if or when such relief will be granted'), (3) Adviser/Magnetar manage overlapping funds, allocation conflicts, (4) Erik Falk, Magnetar Partner/Head of Strategy, appointed interested director 7/15/2026, (5) MCP Investing LLC (Magnetar affiliate) bought the $20.0M 6.50% redeemable note 7/16/2026, (6) the Company holds Magnetar Opportunity 2025-4 LP, a Magnetar SPV charging 20% incentive over a 15% IRR hurdle (2.5), (7) legacy remote-affiliate positions (Skillsoft via Churchill entities, Klein's brother Michael Klein a control person, per 10-Q Note 3, AltC Sponsor LLC per 10-K), (8) Income-Based Fee payable even in NAV-decline quarters (2.2), screening policies/procedures disclosed.</w:t>
            </w:r>
          </w:p>
          <w:p>
            <w:r>
              <w:t>6.4 Tax reporting (1099 vs K-1) (partial): PARTIAL: the literal form name is NOT printed, the string '1099' appears zero times in all three on-disk filings (searched 10-K, 10-Q, N-2 on 2026-08-15), no K-1/partnership language exists either (corporate RIC, not a partnership).</w:t>
            </w:r>
          </w:p>
          <w:p>
            <w:r>
              <w:t>6.5 Service-provider web (extracted-unverified): Service-provider web (post-7/15/2026): Adviser Neostellar Advisors LLC (Delaware RIA, jointly owned by investment professionals + Magnetar JV Entity), Administrator Neostellar Administrative Services LLC (Adviser affiliate, office facilities, bookkeeping, oversees custodians/transfer agents/other agents, expenses reimbursed), Custodian Western Alliance Trust Company, N.A., Phoenix AZ (custody agreement dated 4/19/2023, exhibit 10.7), Transfer agent, distribution paying agent, registrar AND DRIP plan administrator Equiniti Trust Company, LLC, 48 Wall Street, NY, Auditor CBIZ CPAs P.C., Boston (PCAOB 199, predecessor Marcum LLP PCAOB 688).</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6.1/6.2/6.4/1.10.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1.75% on gross assets incl. borrowings</w:t>
            </w:r>
          </w:p>
        </w:tc>
        <w:tc>
          <w:tcPr>
            <w:tcW w:type="dxa" w:w="2880"/>
          </w:tcPr>
          <w:p>
            <w:r>
              <w:t>extracted-unverified</w:t>
            </w:r>
          </w:p>
        </w:tc>
      </w:tr>
      <w:tr>
        <w:trPr>
          <w:cantSplit/>
        </w:trPr>
        <w:tc>
          <w:tcPr>
            <w:tcW w:type="dxa" w:w="2880"/>
          </w:tcPr>
          <w:p>
            <w:r>
              <w:t>2.2 Incentive fee terms</w:t>
            </w:r>
          </w:p>
        </w:tc>
        <w:tc>
          <w:tcPr>
            <w:tcW w:type="dxa" w:w="3600"/>
          </w:tcPr>
          <w:p>
            <w:r>
              <w:t>incentive fee: 7% hurdle</w:t>
            </w:r>
          </w:p>
        </w:tc>
        <w:tc>
          <w:tcPr>
            <w:tcW w:type="dxa" w:w="2880"/>
          </w:tcPr>
          <w:p>
            <w:r>
              <w:t>extracted-unverified</w:t>
            </w:r>
          </w:p>
        </w:tc>
      </w:tr>
      <w:tr>
        <w:trPr>
          <w:cantSplit/>
        </w:trPr>
        <w:tc>
          <w:tcPr>
            <w:tcW w:type="dxa" w:w="2880"/>
          </w:tcPr>
          <w:p>
            <w:r>
              <w:t>2.3 Total expense ratio &amp; waivers</w:t>
            </w:r>
          </w:p>
        </w:tc>
        <w:tc>
          <w:tcPr>
            <w:tcW w:type="dxa" w:w="3600"/>
          </w:tcPr>
          <w:p>
            <w:r>
              <w:t>9.46% expense ratio, net operating expenses under internal management, the fee regime changed 2026-07-15 (FY2025)</w:t>
            </w:r>
          </w:p>
        </w:tc>
        <w:tc>
          <w:tcPr>
            <w:tcW w:type="dxa" w:w="2880"/>
          </w:tcPr>
          <w:p>
            <w:r>
              <w:t>extracted-unverified</w:t>
            </w:r>
          </w:p>
        </w:tc>
      </w:tr>
      <w:tr>
        <w:trPr>
          <w:cantSplit/>
        </w:trPr>
        <w:tc>
          <w:tcPr>
            <w:tcW w:type="dxa" w:w="2880"/>
          </w:tcPr>
          <w:p>
            <w:r>
              <w:t>2.4 AFFE</w:t>
            </w:r>
          </w:p>
        </w:tc>
        <w:tc>
          <w:tcPr>
            <w:tcW w:type="dxa" w:w="3600"/>
          </w:tcPr>
          <w:p>
            <w:r>
              <w:t>AFFE 0.06%</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not applicable, the record states why</w:t>
            </w:r>
          </w:p>
        </w:tc>
        <w:tc>
          <w:tcPr>
            <w:tcW w:type="dxa" w:w="2880"/>
          </w:tcPr>
          <w:p>
            <w:r>
              <w:t>n/a, exchange-traded: no investor-level repurchase/redemption exists, so no early-repurchase fee is possible, exit is on-exchange sale at market price</w:t>
            </w:r>
          </w:p>
        </w:tc>
      </w:tr>
      <w:tr>
        <w:trPr>
          <w:cantSplit/>
        </w:trPr>
        <w:tc>
          <w:tcPr>
            <w:tcW w:type="dxa" w:w="2880"/>
          </w:tcPr>
          <w:p>
            <w:r>
              <w:t>6.4 Tax reporting (1099 vs K-1)</w:t>
            </w:r>
          </w:p>
        </w:tc>
        <w:tc>
          <w:tcPr>
            <w:tcW w:type="dxa" w:w="3600"/>
          </w:tcPr>
          <w:p>
            <w:r>
              <w:t>no fact on record for this cell</w:t>
            </w:r>
          </w:p>
        </w:tc>
        <w:tc>
          <w:tcPr>
            <w:tcW w:type="dxa" w:w="2880"/>
          </w:tcPr>
          <w:p>
            <w:r>
              <w:t>partial</w:t>
            </w:r>
          </w:p>
        </w:tc>
      </w:tr>
    </w:tbl>
    <w:p>
      <w:pPr>
        <w:pStyle w:val="Heading1"/>
        <w:keepNext/>
      </w:pPr>
      <w:r>
        <w:t>Benchmark selection and justification</w:t>
      </w:r>
    </w:p>
    <w:p>
      <w:r>
        <w:t>Return basis for every comparison in this section: Yahoo adjusted close, a market price with distributions reinvested, not NAV (NSLR).</w:t>
      </w:r>
    </w:p>
    <w:p>
      <w:pPr>
        <w:pStyle w:val="Heading2"/>
        <w:keepNext/>
      </w:pPr>
      <w:r>
        <w:t>Ledger: every candidate and its outcome</w:t>
      </w:r>
    </w:p>
    <w:p>
      <w:pPr>
        <w:keepNext/>
      </w:pPr>
      <w:r>
        <w:t>Tark benchmark rubric, 10 points, threshold 6 of 10, strategy gate 2 of 3, affiliated providers ineligible. No candidate is eligible on held data.</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none</w:t>
            </w:r>
          </w:p>
        </w:tc>
        <w:tc>
          <w:tcPr>
            <w:tcW w:type="dxa" w:w="1584"/>
          </w:tcPr>
          <w:p>
            <w:r/>
          </w:p>
        </w:tc>
        <w:tc>
          <w:tcPr>
            <w:tcW w:type="dxa" w:w="864"/>
          </w:tcPr>
          <w:p>
            <w:r/>
          </w:p>
        </w:tc>
        <w:tc>
          <w:tcPr>
            <w:tcW w:type="dxa" w:w="2592"/>
          </w:tcPr>
          <w:p>
            <w:r>
              <w:t>escalated: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tc>
      </w:tr>
      <w:tr>
        <w:trPr>
          <w:cantSplit/>
        </w:trPr>
        <w:tc>
          <w:tcPr>
            <w:tcW w:type="dxa" w:w="1584"/>
          </w:tcPr>
          <w:p>
            <w:r>
              <w:t>SEC-required comparator</w:t>
            </w:r>
          </w:p>
        </w:tc>
        <w:tc>
          <w:tcPr>
            <w:tcW w:type="dxa" w:w="2736"/>
          </w:tcPr>
          <w:p>
            <w:r>
              <w:t>S&amp;P 500</w:t>
            </w:r>
          </w:p>
        </w:tc>
        <w:tc>
          <w:tcPr>
            <w:tcW w:type="dxa" w:w="1584"/>
          </w:tcPr>
          <w:p>
            <w:r>
              <w:t>fund-declared benchmark or SEC-required comparator</w:t>
            </w:r>
          </w:p>
        </w:tc>
        <w:tc>
          <w:tcPr>
            <w:tcW w:type="dxa" w:w="864"/>
          </w:tcPr>
          <w:p>
            <w:r/>
          </w:p>
        </w:tc>
        <w:tc>
          <w:tcPr>
            <w:tcW w:type="dxa" w:w="2592"/>
          </w:tcPr>
          <w:p>
            <w:r>
              <w:t>held, scored 5 of 10, fund price decoupled from NAV</w:t>
            </w:r>
          </w:p>
        </w:tc>
      </w:tr>
      <w:tr>
        <w:trPr>
          <w:cantSplit/>
        </w:trPr>
        <w:tc>
          <w:tcPr>
            <w:tcW w:type="dxa" w:w="1584"/>
          </w:tcPr>
          <w:p>
            <w:r>
              <w:t>SEC-required comparator</w:t>
            </w:r>
          </w:p>
        </w:tc>
        <w:tc>
          <w:tcPr>
            <w:tcW w:type="dxa" w:w="2736"/>
          </w:tcPr>
          <w:p>
            <w:r>
              <w:t>Nasdaq Stock Index</w:t>
            </w:r>
          </w:p>
        </w:tc>
        <w:tc>
          <w:tcPr>
            <w:tcW w:type="dxa" w:w="1584"/>
          </w:tcPr>
          <w:p>
            <w:r>
              <w:t>fund-declared benchmark or SEC-required comparator</w:t>
            </w:r>
          </w:p>
        </w:tc>
        <w:tc>
          <w:tcPr>
            <w:tcW w:type="dxa" w:w="864"/>
          </w:tcPr>
          <w:p>
            <w:r/>
          </w:p>
        </w:tc>
        <w:tc>
          <w:tcPr>
            <w:tcW w:type="dxa" w:w="2592"/>
          </w:tcPr>
          <w:p>
            <w:r>
              <w:t>cited, not held, scored 3 of 10, fund price decoupled from NAV</w:t>
            </w:r>
          </w:p>
        </w:tc>
      </w:tr>
      <w:tr>
        <w:trPr>
          <w:cantSplit/>
        </w:trPr>
        <w:tc>
          <w:tcPr>
            <w:tcW w:type="dxa" w:w="1584"/>
          </w:tcPr>
          <w:p>
            <w:r>
              <w:t>Peer comparison (paragraphs (g) and (h))</w:t>
            </w:r>
          </w:p>
        </w:tc>
        <w:tc>
          <w:tcPr>
            <w:tcW w:type="dxa" w:w="2736"/>
          </w:tcPr>
          <w:p>
            <w:r>
              <w:t>pre-IPO and venture cohort</w:t>
            </w:r>
          </w:p>
        </w:tc>
        <w:tc>
          <w:tcPr>
            <w:tcW w:type="dxa" w:w="1584"/>
          </w:tcPr>
          <w:p>
            <w:r>
              <w:t>peer cohort</w:t>
            </w:r>
          </w:p>
        </w:tc>
        <w:tc>
          <w:tcPr>
            <w:tcW w:type="dxa" w:w="864"/>
          </w:tcPr>
          <w:p>
            <w:r>
              <w:t>not scored</w:t>
            </w:r>
          </w:p>
        </w:tc>
        <w:tc>
          <w:tcPr>
            <w:tcW w:type="dxa" w:w="2592"/>
          </w:tcPr>
          <w:p>
            <w:r>
              <w:t>composite refused: fewer than 3 peers remain after leaving Neostellar Capital Corp. out (2: Destiny Tech100 Inc, ARK Venture Fund)</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5 of 10</w:t>
            </w:r>
          </w:p>
        </w:tc>
        <w:tc>
          <w:tcPr>
            <w:tcW w:type="dxa" w:w="2592"/>
          </w:tcPr>
          <w:p>
            <w:r>
              <w:t>fund price is premium/discount-driven and decoupled from NAV. Benchmarking the price benchmarks the premium, not the portfolio</w:t>
            </w:r>
          </w:p>
        </w:tc>
      </w:tr>
      <w:tr>
        <w:trPr>
          <w:cantSplit/>
        </w:trPr>
        <w:tc>
          <w:tcPr>
            <w:tcW w:type="dxa" w:w="1584"/>
          </w:tcPr>
          <w:p>
            <w:r>
              <w:t>rejected</w:t>
            </w:r>
          </w:p>
        </w:tc>
        <w:tc>
          <w:tcPr>
            <w:tcW w:type="dxa" w:w="2736"/>
          </w:tcPr>
          <w:p>
            <w:r>
              <w:t>S&amp;P 500 investable proxy (SPY)</w:t>
            </w:r>
          </w:p>
        </w:tc>
        <w:tc>
          <w:tcPr>
            <w:tcW w:type="dxa" w:w="1584"/>
          </w:tcPr>
          <w:p>
            <w:r>
              <w:t>fund-declared benchmark or SEC-required comparator</w:t>
            </w:r>
          </w:p>
        </w:tc>
        <w:tc>
          <w:tcPr>
            <w:tcW w:type="dxa" w:w="864"/>
          </w:tcPr>
          <w:p>
            <w:r>
              <w:t>5 of 10</w:t>
            </w:r>
          </w:p>
        </w:tc>
        <w:tc>
          <w:tcPr>
            <w:tcW w:type="dxa" w:w="2592"/>
          </w:tcPr>
          <w:p>
            <w:r>
              <w:t>fund price is premium/discount-driven and decoupled from NAV. Benchmarking the price benchmarks the premium, not the portfolio</w:t>
            </w:r>
          </w:p>
        </w:tc>
      </w:tr>
      <w:tr>
        <w:trPr>
          <w:cantSplit/>
        </w:trPr>
        <w:tc>
          <w:tcPr>
            <w:tcW w:type="dxa" w:w="1584"/>
          </w:tcPr>
          <w:p>
            <w:r>
              <w:t>rejected</w:t>
            </w:r>
          </w:p>
        </w:tc>
        <w:tc>
          <w:tcPr>
            <w:tcW w:type="dxa" w:w="2736"/>
          </w:tcPr>
          <w:p>
            <w:r>
              <w:t>NASDAQ Composite Index</w:t>
            </w:r>
          </w:p>
        </w:tc>
        <w:tc>
          <w:tcPr>
            <w:tcW w:type="dxa" w:w="1584"/>
          </w:tcPr>
          <w:p>
            <w:r>
              <w:t>fund-declared benchmark or SEC-required comparator</w:t>
            </w:r>
          </w:p>
        </w:tc>
        <w:tc>
          <w:tcPr>
            <w:tcW w:type="dxa" w:w="864"/>
          </w:tcPr>
          <w:p>
            <w:r>
              <w:t>3 of 10</w:t>
            </w:r>
          </w:p>
        </w:tc>
        <w:tc>
          <w:tcPr>
            <w:tcW w:type="dxa" w:w="2592"/>
          </w:tcPr>
          <w:p>
            <w:r>
              <w:t>fund price is premium/discount-driven and decoupled from NAV. Benchmarking the price benchmarks the premium, not the portfolio</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ESCALATION: no meaningful benchmark constructible</w:t>
      </w:r>
    </w:p>
    <w:p>
      <w:r>
        <w:t>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No meaningful benchmark could be constructed from the data held. The record cannot support the paragraph (k) comparison until one is identified. This record does not decide.</w:t>
      </w:r>
    </w:p>
    <w:p>
      <w:pPr>
        <w:pStyle w:val="Heading2"/>
        <w:keepNext/>
      </w:pPr>
      <w:r>
        <w:t>Declared benchmark and SEC-required comparators (cell 5.1)</w:t>
      </w:r>
    </w:p>
    <w:p>
      <w:r>
        <w:t>SEC-required comparator: S&amp;P 500, held, scored 5 of 10, fund price decoupled from NAV. The declaration itself earns no points.</w:t>
      </w:r>
    </w:p>
    <w:p>
      <w:r>
        <w:t>No comparison: fund price is premium-driven and decoupled from NAV: no comparison on a market-price series, it would benchmark the premium, not the portfolio.</w:t>
      </w:r>
    </w:p>
    <w:p>
      <w:r>
        <w:t>SEC-required comparator: Nasdaq Stock Index, cited, not held, scored 3 of 10, fund price decoupled from NAV. The declaration itself earns no points.</w:t>
      </w:r>
    </w:p>
    <w:p>
      <w:r>
        <w:t>No comparison: fund price is premium-driven and decoupled from NAV: no comparison on a market-price series, it would benchmark the premium, not the portfolio.</w:t>
      </w:r>
    </w:p>
    <w:p>
      <w:r>
        <w:t>Declared benchmark: none. cell 5.1: the 10-K performance graph compares against indices with a printed statement that no appropriate strategy-matched index exists.</w:t>
      </w:r>
    </w:p>
    <w:p>
      <w:pPr>
        <w:pStyle w:val="Heading2"/>
        <w:keepNext/>
      </w:pPr>
      <w:r>
        <w:t>Peer comparison (paragraphs (g) and (h)): pre-IPO and venture cohort</w:t>
      </w:r>
    </w:p>
    <w:p>
      <w:r>
        <w:t>Peers: Destiny Tech100 Inc, ARK Venture Fund. This is the history of similar investments, not the benchmark, and it is never a public market equivalent.</w:t>
      </w:r>
    </w:p>
    <w:p>
      <w:pPr>
        <w:keepNext/>
      </w:pPr>
      <w:r>
        <w:t>Composite refused: fewer than 3 peers remain after leaving Neostellar Capital Corp. out (2: Destiny Tech100 Inc, ARK Venture Fund). The side-by-side table is shown without a ratio.</w:t>
      </w:r>
    </w:p>
    <w:tbl>
      <w:tblPr>
        <w:tblStyle w:val="TableGrid"/>
        <w:tblW w:type="dxa" w:w="9360"/>
        <w:tblLayout w:type="fixed"/>
        <w:tblLook w:firstColumn="1" w:firstRow="1" w:lastColumn="0" w:lastRow="0" w:noHBand="0" w:noVBand="1" w:val="04A0"/>
      </w:tblPr>
      <w:tblGrid>
        <w:gridCol w:w="1296"/>
        <w:gridCol w:w="576"/>
        <w:gridCol w:w="2496"/>
        <w:gridCol w:w="2496"/>
        <w:gridCol w:w="2496"/>
      </w:tblGrid>
      <w:tr>
        <w:trPr>
          <w:tblHeader/>
          <w:cantSplit/>
        </w:trPr>
        <w:tc>
          <w:tcPr>
            <w:tcW w:type="dxa" w:w="1296"/>
          </w:tcPr>
          <w:p>
            <w:r>
              <w:t>Period</w:t>
            </w:r>
          </w:p>
        </w:tc>
        <w:tc>
          <w:tcPr>
            <w:tcW w:type="dxa" w:w="576"/>
          </w:tcPr>
          <w:p>
            <w:r>
              <w:t>n</w:t>
            </w:r>
          </w:p>
        </w:tc>
        <w:tc>
          <w:tcPr>
            <w:tcW w:type="dxa" w:w="2496"/>
          </w:tcPr>
          <w:p>
            <w:r>
              <w:t>Neostellar Capital Corp.</w:t>
            </w:r>
          </w:p>
        </w:tc>
        <w:tc>
          <w:tcPr>
            <w:tcW w:type="dxa" w:w="2496"/>
          </w:tcPr>
          <w:p>
            <w:r>
              <w:t>Destiny Tech100 Inc</w:t>
            </w:r>
          </w:p>
        </w:tc>
        <w:tc>
          <w:tcPr>
            <w:tcW w:type="dxa" w:w="2496"/>
          </w:tcPr>
          <w:p>
            <w:r>
              <w:t>ARK Venture Fund</w:t>
            </w:r>
          </w:p>
        </w:tc>
      </w:tr>
      <w:tr>
        <w:trPr>
          <w:cantSplit/>
        </w:trPr>
        <w:tc>
          <w:tcPr>
            <w:tcW w:type="dxa" w:w="1296"/>
          </w:tcPr>
          <w:p>
            <w:r>
              <w:t>2017</w:t>
            </w:r>
          </w:p>
        </w:tc>
        <w:tc>
          <w:tcPr>
            <w:tcW w:type="dxa" w:w="576"/>
          </w:tcPr>
          <w:p>
            <w:r>
              <w:t>1</w:t>
            </w:r>
          </w:p>
        </w:tc>
        <w:tc>
          <w:tcPr>
            <w:tcW w:type="dxa" w:w="2496"/>
          </w:tcPr>
          <w:p>
            <w:r>
              <w:t>8.35%</w:t>
            </w:r>
          </w:p>
        </w:tc>
        <w:tc>
          <w:tcPr>
            <w:tcW w:type="dxa" w:w="2496"/>
          </w:tcPr>
          <w:p>
            <w:r>
              <w:t>n/a</w:t>
            </w:r>
          </w:p>
        </w:tc>
        <w:tc>
          <w:tcPr>
            <w:tcW w:type="dxa" w:w="2496"/>
          </w:tcPr>
          <w:p>
            <w:r>
              <w:t>n/a</w:t>
            </w:r>
          </w:p>
        </w:tc>
      </w:tr>
      <w:tr>
        <w:trPr>
          <w:cantSplit/>
        </w:trPr>
        <w:tc>
          <w:tcPr>
            <w:tcW w:type="dxa" w:w="1296"/>
          </w:tcPr>
          <w:p>
            <w:r>
              <w:t>2018</w:t>
            </w:r>
          </w:p>
        </w:tc>
        <w:tc>
          <w:tcPr>
            <w:tcW w:type="dxa" w:w="576"/>
          </w:tcPr>
          <w:p>
            <w:r>
              <w:t>1</w:t>
            </w:r>
          </w:p>
        </w:tc>
        <w:tc>
          <w:tcPr>
            <w:tcW w:type="dxa" w:w="2496"/>
          </w:tcPr>
          <w:p>
            <w:r>
              <w:t>-4.22%</w:t>
            </w:r>
          </w:p>
        </w:tc>
        <w:tc>
          <w:tcPr>
            <w:tcW w:type="dxa" w:w="2496"/>
          </w:tcPr>
          <w:p>
            <w:r>
              <w:t>n/a</w:t>
            </w:r>
          </w:p>
        </w:tc>
        <w:tc>
          <w:tcPr>
            <w:tcW w:type="dxa" w:w="2496"/>
          </w:tcPr>
          <w:p>
            <w:r>
              <w:t>n/a</w:t>
            </w:r>
          </w:p>
        </w:tc>
      </w:tr>
      <w:tr>
        <w:trPr>
          <w:cantSplit/>
        </w:trPr>
        <w:tc>
          <w:tcPr>
            <w:tcW w:type="dxa" w:w="1296"/>
          </w:tcPr>
          <w:p>
            <w:r>
              <w:t>2019</w:t>
            </w:r>
          </w:p>
        </w:tc>
        <w:tc>
          <w:tcPr>
            <w:tcW w:type="dxa" w:w="576"/>
          </w:tcPr>
          <w:p>
            <w:r>
              <w:t>1</w:t>
            </w:r>
          </w:p>
        </w:tc>
        <w:tc>
          <w:tcPr>
            <w:tcW w:type="dxa" w:w="2496"/>
          </w:tcPr>
          <w:p>
            <w:r>
              <w:t>31.56%</w:t>
            </w:r>
          </w:p>
        </w:tc>
        <w:tc>
          <w:tcPr>
            <w:tcW w:type="dxa" w:w="2496"/>
          </w:tcPr>
          <w:p>
            <w:r>
              <w:t>n/a</w:t>
            </w:r>
          </w:p>
        </w:tc>
        <w:tc>
          <w:tcPr>
            <w:tcW w:type="dxa" w:w="2496"/>
          </w:tcPr>
          <w:p>
            <w:r>
              <w:t>n/a</w:t>
            </w:r>
          </w:p>
        </w:tc>
      </w:tr>
      <w:tr>
        <w:trPr>
          <w:cantSplit/>
        </w:trPr>
        <w:tc>
          <w:tcPr>
            <w:tcW w:type="dxa" w:w="1296"/>
          </w:tcPr>
          <w:p>
            <w:r>
              <w:t>2020</w:t>
            </w:r>
          </w:p>
        </w:tc>
        <w:tc>
          <w:tcPr>
            <w:tcW w:type="dxa" w:w="576"/>
          </w:tcPr>
          <w:p>
            <w:r>
              <w:t>1</w:t>
            </w:r>
          </w:p>
        </w:tc>
        <w:tc>
          <w:tcPr>
            <w:tcW w:type="dxa" w:w="2496"/>
          </w:tcPr>
          <w:p>
            <w:r>
              <w:t>116.63%</w:t>
            </w:r>
          </w:p>
        </w:tc>
        <w:tc>
          <w:tcPr>
            <w:tcW w:type="dxa" w:w="2496"/>
          </w:tcPr>
          <w:p>
            <w:r>
              <w:t>n/a</w:t>
            </w:r>
          </w:p>
        </w:tc>
        <w:tc>
          <w:tcPr>
            <w:tcW w:type="dxa" w:w="2496"/>
          </w:tcPr>
          <w:p>
            <w:r>
              <w:t>n/a</w:t>
            </w:r>
          </w:p>
        </w:tc>
      </w:tr>
      <w:tr>
        <w:trPr>
          <w:cantSplit/>
        </w:trPr>
        <w:tc>
          <w:tcPr>
            <w:tcW w:type="dxa" w:w="1296"/>
          </w:tcPr>
          <w:p>
            <w:r>
              <w:t>2021</w:t>
            </w:r>
          </w:p>
        </w:tc>
        <w:tc>
          <w:tcPr>
            <w:tcW w:type="dxa" w:w="576"/>
          </w:tcPr>
          <w:p>
            <w:r>
              <w:t>1</w:t>
            </w:r>
          </w:p>
        </w:tc>
        <w:tc>
          <w:tcPr>
            <w:tcW w:type="dxa" w:w="2496"/>
          </w:tcPr>
          <w:p>
            <w:r>
              <w:t>72.61%</w:t>
            </w:r>
          </w:p>
        </w:tc>
        <w:tc>
          <w:tcPr>
            <w:tcW w:type="dxa" w:w="2496"/>
          </w:tcPr>
          <w:p>
            <w:r>
              <w:t>n/a</w:t>
            </w:r>
          </w:p>
        </w:tc>
        <w:tc>
          <w:tcPr>
            <w:tcW w:type="dxa" w:w="2496"/>
          </w:tcPr>
          <w:p>
            <w:r>
              <w:t>n/a</w:t>
            </w:r>
          </w:p>
        </w:tc>
      </w:tr>
      <w:tr>
        <w:trPr>
          <w:cantSplit/>
        </w:trPr>
        <w:tc>
          <w:tcPr>
            <w:tcW w:type="dxa" w:w="1296"/>
          </w:tcPr>
          <w:p>
            <w:r>
              <w:t>2022</w:t>
            </w:r>
          </w:p>
        </w:tc>
        <w:tc>
          <w:tcPr>
            <w:tcW w:type="dxa" w:w="576"/>
          </w:tcPr>
          <w:p>
            <w:r>
              <w:t>1</w:t>
            </w:r>
          </w:p>
        </w:tc>
        <w:tc>
          <w:tcPr>
            <w:tcW w:type="dxa" w:w="2496"/>
          </w:tcPr>
          <w:p>
            <w:r>
              <w:t>-70.31%</w:t>
            </w:r>
          </w:p>
        </w:tc>
        <w:tc>
          <w:tcPr>
            <w:tcW w:type="dxa" w:w="2496"/>
          </w:tcPr>
          <w:p>
            <w:r>
              <w:t>n/a</w:t>
            </w:r>
          </w:p>
        </w:tc>
        <w:tc>
          <w:tcPr>
            <w:tcW w:type="dxa" w:w="2496"/>
          </w:tcPr>
          <w:p>
            <w:r>
              <w:t>n/a</w:t>
            </w:r>
          </w:p>
        </w:tc>
      </w:tr>
      <w:tr>
        <w:trPr>
          <w:cantSplit/>
        </w:trPr>
        <w:tc>
          <w:tcPr>
            <w:tcW w:type="dxa" w:w="1296"/>
          </w:tcPr>
          <w:p>
            <w:r>
              <w:t>2023</w:t>
            </w:r>
          </w:p>
        </w:tc>
        <w:tc>
          <w:tcPr>
            <w:tcW w:type="dxa" w:w="576"/>
          </w:tcPr>
          <w:p>
            <w:r>
              <w:t>2</w:t>
            </w:r>
          </w:p>
        </w:tc>
        <w:tc>
          <w:tcPr>
            <w:tcW w:type="dxa" w:w="2496"/>
          </w:tcPr>
          <w:p>
            <w:r>
              <w:t>3.68%</w:t>
            </w:r>
          </w:p>
        </w:tc>
        <w:tc>
          <w:tcPr>
            <w:tcW w:type="dxa" w:w="2496"/>
          </w:tcPr>
          <w:p>
            <w:r>
              <w:t>n/a</w:t>
            </w:r>
          </w:p>
        </w:tc>
        <w:tc>
          <w:tcPr>
            <w:tcW w:type="dxa" w:w="2496"/>
          </w:tcPr>
          <w:p>
            <w:r>
              <w:t>61.25%</w:t>
            </w:r>
          </w:p>
        </w:tc>
      </w:tr>
      <w:tr>
        <w:trPr>
          <w:cantSplit/>
        </w:trPr>
        <w:tc>
          <w:tcPr>
            <w:tcW w:type="dxa" w:w="1296"/>
          </w:tcPr>
          <w:p>
            <w:r>
              <w:t>2024</w:t>
            </w:r>
          </w:p>
        </w:tc>
        <w:tc>
          <w:tcPr>
            <w:tcW w:type="dxa" w:w="576"/>
          </w:tcPr>
          <w:p>
            <w:r>
              <w:t>2</w:t>
            </w:r>
          </w:p>
        </w:tc>
        <w:tc>
          <w:tcPr>
            <w:tcW w:type="dxa" w:w="2496"/>
          </w:tcPr>
          <w:p>
            <w:r>
              <w:t>49.24%</w:t>
            </w:r>
          </w:p>
        </w:tc>
        <w:tc>
          <w:tcPr>
            <w:tcW w:type="dxa" w:w="2496"/>
          </w:tcPr>
          <w:p>
            <w:r>
              <w:t>n/a</w:t>
            </w:r>
          </w:p>
        </w:tc>
        <w:tc>
          <w:tcPr>
            <w:tcW w:type="dxa" w:w="2496"/>
          </w:tcPr>
          <w:p>
            <w:r>
              <w:t>6.69%</w:t>
            </w:r>
          </w:p>
        </w:tc>
      </w:tr>
      <w:tr>
        <w:trPr>
          <w:cantSplit/>
        </w:trPr>
        <w:tc>
          <w:tcPr>
            <w:tcW w:type="dxa" w:w="1296"/>
          </w:tcPr>
          <w:p>
            <w:r>
              <w:t>2025</w:t>
            </w:r>
          </w:p>
        </w:tc>
        <w:tc>
          <w:tcPr>
            <w:tcW w:type="dxa" w:w="576"/>
          </w:tcPr>
          <w:p>
            <w:r>
              <w:t>3</w:t>
            </w:r>
          </w:p>
        </w:tc>
        <w:tc>
          <w:tcPr>
            <w:tcW w:type="dxa" w:w="2496"/>
          </w:tcPr>
          <w:p>
            <w:r>
              <w:t>69.91%</w:t>
            </w:r>
          </w:p>
        </w:tc>
        <w:tc>
          <w:tcPr>
            <w:tcW w:type="dxa" w:w="2496"/>
          </w:tcPr>
          <w:p>
            <w:r>
              <w:t>-47.96%</w:t>
            </w:r>
          </w:p>
        </w:tc>
        <w:tc>
          <w:tcPr>
            <w:tcW w:type="dxa" w:w="2496"/>
          </w:tcPr>
          <w:p>
            <w:r>
              <w:t>55.68%</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3 wrapper types (interval fund (Rule 23c-3), listed BDC, listed closed-end fund)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5 of 10</w:t>
            </w:r>
          </w:p>
        </w:tc>
        <w:tc>
          <w:tcPr>
            <w:tcW w:type="dxa" w:w="5472"/>
          </w:tcPr>
          <w:p>
            <w:r>
              <w:t>fund price is premium/discount-driven and decoupled from NAV. Benchmarking the price benchmarks the premium, not the portfolio. Criteria: Strategy match 1 of 3: adjacent asset class sharing the dominant risk (listed private equity for late-stage growth in a listed BDC), Risk and liquidity match 0 of 3: fund price is premium-driven and decoupled from NAV, no candidate matches that risk process (fund terms: exchange-traded, continuous dealing at the market price),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S&amp;P 500 investable proxy (SPY)</w:t>
            </w:r>
          </w:p>
        </w:tc>
        <w:tc>
          <w:tcPr>
            <w:tcW w:type="dxa" w:w="1008"/>
          </w:tcPr>
          <w:p>
            <w:r>
              <w:t>5 of 10</w:t>
            </w:r>
          </w:p>
        </w:tc>
        <w:tc>
          <w:tcPr>
            <w:tcW w:type="dxa" w:w="5472"/>
          </w:tcPr>
          <w:p>
            <w:r>
              <w:t>fund price is premium/discount-driven and decoupled from NAV. Benchmarking the price benchmarks the premium, not the portfolio. Criteria: Strategy match 1 of 3: adjacent asset class sharing the dominant risk (US large cap for late-stage growth in a listed BDC), Risk and liquidity match 0 of 3: fund price is premium-driven and decoupled from NAV, no candidate matches that risk process (fund terms: exchange-traded, continuous dealing at the market price), Provider independence 2 of 2: provider unaffiliated with the fund (SPDR / S&amp;P DJI): the registry affiliation map ties it to none of the fund's advisers, Data held 2 of 2: daily public market series held (exchange-traded proxy, Yahoo adjusted close).</w:t>
            </w:r>
          </w:p>
        </w:tc>
      </w:tr>
      <w:tr>
        <w:trPr>
          <w:cantSplit/>
        </w:trPr>
        <w:tc>
          <w:tcPr>
            <w:tcW w:type="dxa" w:w="2880"/>
          </w:tcPr>
          <w:p>
            <w:r>
              <w:t>NASDAQ Composite Index</w:t>
            </w:r>
          </w:p>
        </w:tc>
        <w:tc>
          <w:tcPr>
            <w:tcW w:type="dxa" w:w="1008"/>
          </w:tcPr>
          <w:p>
            <w:r>
              <w:t>3 of 10</w:t>
            </w:r>
          </w:p>
        </w:tc>
        <w:tc>
          <w:tcPr>
            <w:tcW w:type="dxa" w:w="5472"/>
          </w:tcPr>
          <w:p>
            <w:r>
              <w:t>fund price is premium/discount-driven and decoupled from NAV. Benchmarking the price benchmarks the premium, not the portfolio. Criteria: Strategy match 1 of 3: adjacent asset class sharing the dominant risk (NASDAQ Composite for late-stage growth in a listed BDC), Risk and liquidity match 0 of 3: fund price is premium-driven and decoupled from NAV, no candidate matches that risk process (fund terms: exchange-traded, continuous dealing at the market price), Provider independence 2 of 2: provider unaffiliated with the fund (Nasdaq): the registry affiliation map ties it to none of the fund's advisers, Data held 0 of 2: cited, series not in the record: no comparison can be computed yet.</w:t>
            </w:r>
          </w:p>
        </w:tc>
      </w:tr>
    </w:tbl>
    <w:p>
      <w:pPr>
        <w:pStyle w:val="Heading1"/>
        <w:keepNext/>
      </w:pPr>
      <w:r>
        <w:t>Product-to-plan liquidity match</w:t>
      </w:r>
    </w:p>
    <w:p>
      <w:r>
        <w:t>Plan: Global management-consulting firm profit-sharing/401(k) plan (~$9.8B, NY).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ALIGNED-MECHANICAL</w:t>
      </w:r>
    </w:p>
    <w:p>
      <w:pPr>
        <w:pStyle w:val="ListBullet"/>
      </w:pPr>
      <w:r>
        <w:t>Daily exchange liquidity mechanically satisfies daily participant dealing (3.1).</w:t>
      </w:r>
    </w:p>
    <w:p>
      <w:pPr>
        <w:pStyle w:val="ListBullet"/>
        <w:keepNext/>
      </w:pPr>
      <w:r>
        <w:t>BUT price-vs-NAV decoupling means participants transact at the premium or discount, not at portfolio value. The liquidity is real, the price basis is not (1.10, 4.7).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listed BDC</w:t>
            </w:r>
          </w:p>
        </w:tc>
        <w:tc>
          <w:tcPr>
            <w:tcW w:type="dxa" w:w="1152"/>
          </w:tcPr>
          <w:p>
            <w:r>
              <w:t>6.1</w:t>
            </w:r>
          </w:p>
        </w:tc>
      </w:tr>
      <w:tr>
        <w:trPr>
          <w:cantSplit/>
        </w:trPr>
        <w:tc>
          <w:tcPr>
            <w:tcW w:type="dxa" w:w="2448"/>
          </w:tcPr>
          <w:p>
            <w:r>
              <w:t>Dealing terms</w:t>
            </w:r>
          </w:p>
        </w:tc>
        <w:tc>
          <w:tcPr>
            <w:tcW w:type="dxa" w:w="5760"/>
          </w:tcPr>
          <w:p>
            <w:r>
              <w:t>daily on-exchange dealing, no fund-level cap (3.1)</w:t>
            </w:r>
          </w:p>
        </w:tc>
        <w:tc>
          <w:tcPr>
            <w:tcW w:type="dxa" w:w="1152"/>
          </w:tcPr>
          <w:p>
            <w:r>
              <w:t>3.1</w:t>
            </w:r>
          </w:p>
        </w:tc>
      </w:tr>
      <w:tr>
        <w:trPr>
          <w:cantSplit/>
        </w:trPr>
        <w:tc>
          <w:tcPr>
            <w:tcW w:type="dxa" w:w="2448"/>
          </w:tcPr>
          <w:p>
            <w:r>
              <w:t>Repurchase caps</w:t>
            </w:r>
          </w:p>
        </w:tc>
        <w:tc>
          <w:tcPr>
            <w:tcW w:type="dxa" w:w="5760"/>
          </w:tcPr>
          <w:p>
            <w:r>
              <w:t>no fund-level cap, capacity is market depth</w:t>
            </w:r>
          </w:p>
        </w:tc>
        <w:tc>
          <w:tcPr>
            <w:tcW w:type="dxa" w:w="1152"/>
          </w:tcPr>
          <w:p>
            <w:r>
              <w:t>3.1</w:t>
            </w:r>
          </w:p>
        </w:tc>
      </w:tr>
      <w:tr>
        <w:trPr>
          <w:cantSplit/>
        </w:trPr>
        <w:tc>
          <w:tcPr>
            <w:tcW w:type="dxa" w:w="2448"/>
          </w:tcPr>
          <w:p>
            <w:r>
              <w:t>Annual capacity (binding cap)</w:t>
            </w:r>
          </w:p>
        </w:tc>
        <w:tc>
          <w:tcPr>
            <w:tcW w:type="dxa" w:w="5760"/>
          </w:tcPr>
          <w:p>
            <w:r>
              <w:t>not on record: on-exchange liquidity with no fund-level cap</w:t>
            </w:r>
          </w:p>
        </w:tc>
        <w:tc>
          <w:tcPr>
            <w:tcW w:type="dxa" w:w="1152"/>
          </w:tcPr>
          <w:p>
            <w:r>
              <w:t>3.1</w:t>
            </w:r>
          </w:p>
        </w:tc>
      </w:tr>
      <w:tr>
        <w:trPr>
          <w:cantSplit/>
        </w:trPr>
        <w:tc>
          <w:tcPr>
            <w:tcW w:type="dxa" w:w="2448"/>
          </w:tcPr>
          <w:p>
            <w:r>
              <w:t>Gating history</w:t>
            </w:r>
          </w:p>
        </w:tc>
        <w:tc>
          <w:tcPr>
            <w:tcW w:type="dxa" w:w="5760"/>
          </w:tcPr>
          <w:p>
            <w:r>
              <w:t>none identified in the filings on record</w:t>
            </w:r>
          </w:p>
        </w:tc>
        <w:tc>
          <w:tcPr>
            <w:tcW w:type="dxa" w:w="1152"/>
          </w:tcPr>
          <w:p>
            <w:r>
              <w:t>3.3</w:t>
            </w:r>
          </w:p>
        </w:tc>
      </w:tr>
      <w:tr>
        <w:trPr>
          <w:cantSplit/>
        </w:trPr>
        <w:tc>
          <w:tcPr>
            <w:tcW w:type="dxa" w:w="2448"/>
          </w:tcPr>
          <w:p>
            <w:r>
              <w:t>Repurchase program status</w:t>
            </w:r>
          </w:p>
        </w:tc>
        <w:tc>
          <w:tcPr>
            <w:tcW w:type="dxa" w:w="5760"/>
          </w:tcPr>
          <w:p>
            <w:r>
              <w:t>not on record: exchange-listed, no repurchase program</w:t>
            </w:r>
          </w:p>
        </w:tc>
        <w:tc>
          <w:tcPr>
            <w:tcW w:type="dxa" w:w="1152"/>
          </w:tcPr>
          <w:p>
            <w:r>
              <w:t>3.1</w:t>
            </w:r>
          </w:p>
        </w:tc>
      </w:tr>
      <w:tr>
        <w:trPr>
          <w:cantSplit/>
        </w:trPr>
        <w:tc>
          <w:tcPr>
            <w:tcW w:type="dxa" w:w="2448"/>
          </w:tcPr>
          <w:p>
            <w:r>
              <w:t>Early repurchase fee</w:t>
            </w:r>
          </w:p>
        </w:tc>
        <w:tc>
          <w:tcPr>
            <w:tcW w:type="dxa" w:w="5760"/>
          </w:tcPr>
          <w:p>
            <w:r>
              <w:t>not on record (2.7)</w:t>
            </w:r>
          </w:p>
        </w:tc>
        <w:tc>
          <w:tcPr>
            <w:tcW w:type="dxa" w:w="1152"/>
          </w:tcPr>
          <w:p>
            <w:r>
              <w:t>2.7</w:t>
            </w:r>
          </w:p>
        </w:tc>
      </w:tr>
      <w:tr>
        <w:trPr>
          <w:cantSplit/>
        </w:trPr>
        <w:tc>
          <w:tcPr>
            <w:tcW w:type="dxa" w:w="2448"/>
          </w:tcPr>
          <w:p>
            <w:r>
              <w:t>Fund net assets (for the dollar capacity)</w:t>
            </w:r>
          </w:p>
        </w:tc>
        <w:tc>
          <w:tcPr>
            <w:tcW w:type="dxa" w:w="5760"/>
          </w:tcPr>
          <w:p>
            <w:r>
              <w:t>not on record: aggregate net assets not yet carried into a fact on record. Verification-queue item</w:t>
            </w:r>
          </w:p>
        </w:tc>
        <w:tc>
          <w:tcPr>
            <w:tcW w:type="dxa" w:w="1152"/>
          </w:tcPr>
          <w:p>
            <w:r>
              <w:t>3.6</w:t>
            </w:r>
          </w:p>
        </w:tc>
      </w:tr>
    </w:tbl>
    <w:p>
      <w:pPr>
        <w:pStyle w:val="Heading2"/>
        <w:keepNext/>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not applicable (exchange-traded).</w:t>
      </w:r>
    </w:p>
    <w:p>
      <w:r>
        <w:t>Slider assumption (adjustable on the Liquidity view, not a fact): tail turnover 20%/yr, active turnover 5%/yr, 13.7% of the position per year = $67.3M/yr, shown beside the filed rate, not blended with it.</w:t>
      </w:r>
    </w:p>
    <w:p>
      <w:r>
        <w:t>Stressed (the filed outflow proxy plus the increment the stress multiples add under stress (tail turnover x2, active turnover x1.5 over the slider assumption)): demand $94.1M/yr = 19.2%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pPr>
        <w:pStyle w:val="ListBullet"/>
      </w:pPr>
      <w:r>
        <w:t>Filed outflow proxy (Schedule H, plan year 2024-01-01 to 2024-12-31): 6.5% of the position per year, the plan's total expenses less administrative expenses over beginning net assets, applied to the position. On an exchange this is a selling rate against market depth, not a claim on a fund cap.</w:t>
      </w:r>
    </w:p>
    <w:p>
      <w:pPr>
        <w:pStyle w:val="ListBullet"/>
      </w:pPr>
      <w:r>
        <w:t>Slider assumption (illustrative): 13.7% of the position per year, from tail turnover 20%/yr on the 58.2% of accounts that are separated and active turnover 5%/yr on the rest. Shown beside the filed rate, not blended with it, and likewise a selling rate against market depth.</w:t>
      </w:r>
    </w:p>
    <w:p>
      <w:r>
        <w:t>Cited: cell 3.1, cell 3.3, cell 3.7, the plan record on file (Form 5500, plan year 2024-01-01 to 2024-12-31).</w:t>
      </w:r>
    </w:p>
    <w:p>
      <w:pPr>
        <w:pStyle w:val="Heading1"/>
        <w:keepNext/>
      </w:pPr>
      <w:r>
        <w:t>Peer cohort placement</w:t>
      </w:r>
    </w:p>
    <w:p>
      <w:r>
        <w:t>Evidence depth tier: COHORT. Cohort: Pre-IPO / venture growth (listed CEF + listed BDC + interval fund) (n=3). Membership rationale: Listed BDC (fka SuRo Capital) holding late-stage growth equity, the second market-priced venture vehicle. Gives dxyz a premium/discount comparable. Membership CONDITIONAL on strategy continuity through the Neostellar rename (verification queue).</w:t>
      </w:r>
    </w:p>
    <w:p>
      <w:r>
        <w:t>Cohort placement (pre-IPO and venture cohort): mgmt fee: below the cohort median of 2.5 (n=3, too small for percentile language) | expense ratio (bases differ, see notes): above the cohort median of 4.53 (n=3, too small for percentile language) | repurchase cap: fact unavailable for this member. Statistics and per-member values are in the cohort record, membership rationales in the facts on record.</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[per product from the record: ARK Venture Fund: NAV, Destiny Tech100 Inc: market price, Neostellar Capital Corp.: market price]</w:t>
      </w:r>
    </w:p>
    <w:p>
      <w:pPr>
        <w:pStyle w:val="ListBullet"/>
      </w:pPr>
      <w:r>
        <w:t>Caveat: LEVERAGE-REGIME MIX: BDC 150% coverage and non-1940-Act wrappers allow materially more leverage than 1940-Act funds. Fee bases and return volatility are not like-for-like. [per product from the record: ARK Venture Fund: 1940-Act asset-coverage limits, Destiny Tech100 Inc: 1940-Act asset-coverage limits, Neostellar Capital Corp.: BDC 150% asset-coverage regime]</w:t>
      </w:r>
    </w:p>
    <w:p>
      <w:pPr>
        <w:pStyle w:val="ListBullet"/>
      </w:pPr>
      <w:r>
        <w:t>Caveat: LIQUIDITY-LAW MIX: Rule 23c-3 obligations, discretionary tenders, and repurchase plans give different worst-case exit rights. Cadence numbers alone overstate comparability. [by wrapper type: ARK Venture Fund: Rule 23c-3 OBLIGATION (board cannot skip a window), Destiny Tech100 Inc: continuous exchange dealing, Neostellar Capital Corp.: continuous exchange dealing]</w:t>
      </w:r>
    </w:p>
    <w:p>
      <w:pPr>
        <w:pStyle w:val="ListBullet"/>
      </w:pPr>
      <w:r>
        <w:t>Caveat: NAV-CADENCE MIX: daily, monthly, and quarterly NAV processes embed different appraisal smoothing. Volatility and drawdown comparisons inherit that difference (see de-smoothing lab). [per product from the record: ARK Venture Fund: daily, Destiny Tech100 Inc: quarterly, Neostellar Capital Corp.: quarterly]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27, verified 0, computed 13, partial 4, fetched 1, n/a 10, pending 0. 40 of 45 resolved: 27 evidenced, 13 computed, 5 partial, 10 n/a, 0 verified by a person.</w:t>
      </w:r>
    </w:p>
    <w:p>
      <w:r>
        <w:t>Of the 40 resolved cells (structured, extracted-unverified, verified and computed), 40 carry a source document, 40 a section, 27 a verbatim quote (computed cells carry their computation and inputs instead of a quote) and 40 an extractor. 5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10-K 2026-03-11</w:t>
            </w:r>
          </w:p>
        </w:tc>
        <w:tc>
          <w:tcPr>
            <w:tcW w:type="dxa" w:w="4896"/>
          </w:tcPr>
          <w:p>
            <w:r>
              <w:t>accession 0001493152-26-009641</w:t>
            </w:r>
          </w:p>
          <w:p>
            <w:r>
              <w:t>https://www.sec.gov/Archives/edgar/data/1509470/000149315226009641/form10-k.htm</w:t>
            </w:r>
          </w:p>
        </w:tc>
        <w:tc>
          <w:tcPr>
            <w:tcW w:type="dxa" w:w="2592"/>
          </w:tcPr>
          <w:p>
            <w:r>
              <w:t>1.1, 1.2, 1.3, 1.4, 1.10, 1.11, 2.1, 2.3, 3.1, 3.2, 3.3, 3.4, 3.6, 4.1, 4.2, 4.3, 4.4, 4.5, 4.6, 5.1, 6.1, 6.2, 6.3, 6.4, 6.5</w:t>
            </w:r>
          </w:p>
        </w:tc>
      </w:tr>
      <w:tr>
        <w:trPr>
          <w:cantSplit/>
        </w:trPr>
        <w:tc>
          <w:tcPr>
            <w:tcW w:type="dxa" w:w="1872"/>
          </w:tcPr>
          <w:p>
            <w:r>
              <w:t>N-2 2026-07-31</w:t>
            </w:r>
          </w:p>
        </w:tc>
        <w:tc>
          <w:tcPr>
            <w:tcW w:type="dxa" w:w="4896"/>
          </w:tcPr>
          <w:p>
            <w:r>
              <w:t>accession 0001493152-26-035527</w:t>
            </w:r>
          </w:p>
          <w:p>
            <w:r>
              <w:t>https://www.sec.gov/Archives/edgar/data/1509470/000149315226035527/formn-2.htm</w:t>
            </w:r>
          </w:p>
        </w:tc>
        <w:tc>
          <w:tcPr>
            <w:tcW w:type="dxa" w:w="2592"/>
          </w:tcPr>
          <w:p>
            <w:r>
              <w:t>1.10, 1.11, 2.1, 2.2, 2.3, 2.4, 2.6, 3.2, 3.4, 4.1, 4.6, 6.1, 6.2, 6.3, 6.5</w:t>
            </w:r>
          </w:p>
        </w:tc>
      </w:tr>
      <w:tr>
        <w:trPr>
          <w:cantSplit/>
        </w:trPr>
        <w:tc>
          <w:tcPr>
            <w:tcW w:type="dxa" w:w="1872"/>
          </w:tcPr>
          <w:p>
            <w:r>
              <w:t>10-Q 2026-08-06</w:t>
            </w:r>
          </w:p>
        </w:tc>
        <w:tc>
          <w:tcPr>
            <w:tcW w:type="dxa" w:w="4896"/>
          </w:tcPr>
          <w:p>
            <w:r>
              <w:t>accession 0001493152-26-036285</w:t>
            </w:r>
          </w:p>
          <w:p>
            <w:r>
              <w:t>https://www.sec.gov/Archives/edgar/data/1509470/000149315226036285/form10-q.htm</w:t>
            </w:r>
          </w:p>
        </w:tc>
        <w:tc>
          <w:tcPr>
            <w:tcW w:type="dxa" w:w="2592"/>
          </w:tcPr>
          <w:p>
            <w:r>
              <w:t>1.1, 1.2, 1.3, 1.5, 1.10, 2.2, 2.3, 2.5, 3.1, 3.3, 3.4, 3.6, 4.2, 4.6 (matched by form only), 6.1, 6.2, 6.3</w:t>
            </w:r>
          </w:p>
        </w:tc>
      </w:tr>
    </w:tbl>
    <w:p>
      <w:pPr>
        <w:keepNext/>
      </w:pPr>
      <w:r>
        <w:t>Cells whose reference does not resolve to a manifest row:</w:t>
      </w:r>
    </w:p>
    <w:p>
      <w:pPr>
        <w:pStyle w:val="ListBullet"/>
      </w:pPr>
      <w:r>
        <w:t>1.6: accession not on record: no filing reference in the source field</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4.7: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(3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Global management-consulting firm profit-sharing/401(k) plan (~$9.8B, NY). Neostellar Capital Corp. (fka SuRo Capital Corp., SSSS)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Neostellar Capital Corp. (fka SuRo Capital Corp., SSSS) for Global management-consulting firm profit-sharing/401(k) plan (~$9.8B, NY)</dc:title>
  <dc:subject>Fiduciary Duties in Selecting Designated Investment Alternatives, 91 FR 16088 (Mar. 31, 2026), RIN 1210-AC38, proposed 29 CFR 2550.404a-6, paragraphs (g) to (l)</dc:subject>
  <dc:creator>Tark</dc:creator>
  <cp:keywords>ssss, plan_consulting_alumni,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