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Investment Selection Record</w:t>
      </w:r>
    </w:p>
    <w:p>
      <w:r>
        <w:rPr>
          <w:b/>
        </w:rPr>
        <w:t>Plan: US industrial manufacturer 401(k) plan (~$0.8B, OH)</w:t>
      </w:r>
      <w:r>
        <w:t xml:space="preserve">. Product: Ares Private Markets Fund (tender-offer fund ('40 Act), CIK 1876006). </w:t>
      </w:r>
      <w:r>
        <w:t>Date: 2026-09-04. Status: DRAFT until the committee signs page one. Cells marked extracted-unverified pend independent verification.</w:t>
      </w:r>
    </w:p>
    <w:p>
      <w:pPr>
        <w:pStyle w:val="Heading1"/>
        <w:keepNext/>
      </w:pPr>
      <w:r>
        <w:t>Decision summary</w:t>
      </w:r>
    </w:p>
    <w:p>
      <w:r>
        <w:t>Structural liquidity verdict: PARTIAL (dealing terms on record, plan-independent). Scenario verdict under US industrial manufacturer 401(k) plan (~$0.8B, OH) (ILLUSTRATIVE): CONDITIONAL.</w:t>
      </w:r>
    </w:p>
    <w:p>
      <w:r>
        <w:t>Meaningful benchmark (paragraph (k)): Cambridge Associates US PE benchmark at 8 of 10, cited, series not in the record. Meaningful benchmark by descriptor. No comparison until its series is held. Peer comparison (paragraphs (g) and (h)): relative wealth ratio 1.0918 vs the equal-weight peer composite over FY2023 to FY2026 (years to 03-31) (n=3), not a benchmark and not a PME.</w:t>
      </w:r>
    </w:p>
    <w:p>
      <w:r>
        <w:t>Reference comparison, not the meaningful benchmark: Listed private equity investable proxy (PSP), KS-PME 1.5712, Direct Alpha 11.97%/yr over 2022-04-01 to 2026-03-31.</w:t>
      </w:r>
    </w:p>
    <w:p>
      <w:r>
        <w:t>Evidence coverage: 39 of 42 resolved: 28 evidenced, 11 computed, 3 partial, 13 n/a, 0 verified by a person. Verified by a person: 0. Advisor-stated inputs for this plan: 0 of 6.</w:t>
      </w:r>
    </w:p>
    <w:p>
      <w:pPr>
        <w:pStyle w:val="Heading2"/>
        <w:keepNext/>
      </w:pPr>
      <w:r>
        <w:t>Recommendation</w:t>
      </w:r>
    </w:p>
    <w:p>
      <w:pPr>
        <w:keepNext/>
      </w:pPr>
      <w:r>
        <w:t>Flags raised by the record (each restates a recorded value or verdict already in the record, with its source):</w:t>
      </w:r>
    </w:p>
    <w:p>
      <w:pPr>
        <w:pStyle w:val="ListBullet"/>
      </w:pPr>
      <w:r>
        <w:t>Benchmark: the meaningful benchmark carries no computed comparison (Meaningful benchmark by descriptor. No comparison until its series is held) (benchmark selection)</w:t>
      </w:r>
    </w:p>
    <w:p>
      <w:pPr>
        <w:pStyle w:val="ListBullet"/>
      </w:pPr>
      <w:r>
        <w:t>Liquidity: structural verdict partial, facts missing: gating history (cells 3.1, 3.3)</w:t>
      </w:r>
    </w:p>
    <w:p>
      <w:r>
        <w:t>This record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(not applicable: CIT only), 3.5 TDF/CIT liquidity sleeve (not applicable: CIT only), 4.9 CIT unit valuation (not applicable: CIT only).</w:t>
      </w:r>
    </w:p>
    <w:p>
      <w:pPr>
        <w:pStyle w:val="Heading2"/>
        <w:keepNext/>
      </w:pPr>
      <w:r>
        <w:t>Committee action and signatures</w:t>
      </w:r>
    </w:p>
    <w:p>
      <w:pPr>
        <w:keepNext/>
      </w:pPr>
      <w:r>
        <w:t>The committee records its action on this product for this plan and signs below. A signature adopts the record as read, it does not verify a cell: verification is the separate signed act on the evidence ledger.</w:t>
      </w:r>
    </w:p>
    <w:tbl>
      <w:tblPr>
        <w:tblStyle w:val="TableGrid"/>
        <w:tblW w:type="dxa" w:w="9360"/>
        <w:tblLayout w:type="fixed"/>
        <w:tblLook w:firstColumn="1" w:firstRow="1" w:lastColumn="0" w:lastRow="0" w:noHBand="0" w:noVBand="1" w:val="04A0"/>
      </w:tblPr>
      <w:tblGrid>
        <w:gridCol w:w="2304"/>
        <w:gridCol w:w="3456"/>
        <w:gridCol w:w="2304"/>
        <w:gridCol w:w="1296"/>
      </w:tblGrid>
      <w:tr>
        <w:trPr>
          <w:tblHeader/>
          <w:cantSplit/>
        </w:trPr>
        <w:tc>
          <w:tcPr>
            <w:tcW w:type="dxa" w:w="2304"/>
          </w:tcPr>
          <w:p>
            <w:r>
              <w:t>Role</w:t>
            </w:r>
          </w:p>
        </w:tc>
        <w:tc>
          <w:tcPr>
            <w:tcW w:type="dxa" w:w="3456"/>
          </w:tcPr>
          <w:p>
            <w:r>
              <w:t>Name and title</w:t>
            </w:r>
          </w:p>
        </w:tc>
        <w:tc>
          <w:tcPr>
            <w:tcW w:type="dxa" w:w="2304"/>
          </w:tcPr>
          <w:p>
            <w:r>
              <w:t>Signature</w:t>
            </w:r>
          </w:p>
        </w:tc>
        <w:tc>
          <w:tcPr>
            <w:tcW w:type="dxa" w:w="1296"/>
          </w:tcPr>
          <w:p>
            <w:r>
              <w:t>Date</w:t>
            </w:r>
          </w:p>
        </w:tc>
      </w:tr>
      <w:tr>
        <w:trPr>
          <w:cantSplit/>
        </w:trPr>
        <w:tc>
          <w:tcPr>
            <w:tcW w:type="dxa" w:w="2304"/>
          </w:tcPr>
          <w:p>
            <w:r>
              <w:t>Committee action</w:t>
            </w:r>
          </w:p>
        </w:tc>
        <w:tc>
          <w:tcPr>
            <w:tcW w:type="dxa" w:w="1296"/>
            <w:gridSpan w:val="3"/>
          </w:tcPr>
          <w:p>
            <w:r>
              <w:t>Select    Decline    Defer    (mark one)</w:t>
            </w:r>
          </w:p>
        </w:tc>
      </w:tr>
      <w:tr>
        <w:trPr>
          <w:cantSplit/>
        </w:trPr>
        <w:tc>
          <w:tcPr>
            <w:tcW w:type="dxa" w:w="2304"/>
          </w:tcPr>
          <w:p>
            <w:r>
              <w:t>Adopting fiduciary</w:t>
            </w:r>
          </w:p>
        </w:tc>
        <w:tc>
          <w:tcPr>
            <w:tcW w:type="dxa" w:w="3456"/>
          </w:tcPr>
          <w:p/>
        </w:tc>
        <w:tc>
          <w:tcPr>
            <w:tcW w:type="dxa" w:w="2304"/>
          </w:tcPr>
          <w:p/>
        </w:tc>
        <w:tc>
          <w:tcPr>
            <w:tcW w:type="dxa" w:w="1296"/>
          </w:tcPr>
          <w:p/>
        </w:tc>
      </w:tr>
      <w:tr>
        <w:trPr>
          <w:cantSplit/>
        </w:trPr>
        <w:tc>
          <w:tcPr>
            <w:tcW w:type="dxa" w:w="2304"/>
          </w:tcPr>
          <w:p>
            <w:r>
              <w:t>Adviser</w:t>
            </w:r>
          </w:p>
        </w:tc>
        <w:tc>
          <w:tcPr>
            <w:tcW w:type="dxa" w:w="3456"/>
          </w:tcPr>
          <w:p/>
        </w:tc>
        <w:tc>
          <w:tcPr>
            <w:tcW w:type="dxa" w:w="2304"/>
          </w:tcPr>
          <w:p/>
        </w:tc>
        <w:tc>
          <w:tcPr>
            <w:tcW w:type="dxa" w:w="1296"/>
          </w:tcPr>
          <w:p/>
        </w:tc>
      </w:tr>
      <w:tr>
        <w:trPr>
          <w:cantSplit/>
        </w:trPr>
        <w:tc>
          <w:tcPr>
            <w:tcW w:type="dxa" w:w="2304"/>
          </w:tcPr>
          <w:p>
            <w:r>
              <w:t>Committee secretary</w:t>
            </w:r>
          </w:p>
        </w:tc>
        <w:tc>
          <w:tcPr>
            <w:tcW w:type="dxa" w:w="3456"/>
          </w:tcPr>
          <w:p/>
        </w:tc>
        <w:tc>
          <w:tcPr>
            <w:tcW w:type="dxa" w:w="2304"/>
          </w:tcPr>
          <w:p/>
        </w:tc>
        <w:tc>
          <w:tcPr>
            <w:tcW w:type="dxa" w:w="1296"/>
          </w:tcPr>
          <w:p/>
        </w:tc>
      </w:tr>
    </w:tbl>
    <w:p>
      <w:r>
        <w:t>Record as of 2026-09-04. Status: DRAFT until signed.</w:t>
      </w:r>
    </w:p>
    <w:p>
      <w:r>
        <w:fldChar w:fldCharType="begin"/>
      </w:r>
      <w:r>
        <w:instrText xml:space="preserve">TOC \o "1-2" \h \z \u</w:instrText>
      </w:r>
      <w:r>
        <w:fldChar w:fldCharType="separate"/>
      </w:r>
      <w:r>
        <w:t>Table of contents: updated when the document is opened in Word.</w:t>
      </w:r>
      <w:r>
        <w:fldChar w:fldCharType="end"/>
      </w:r>
    </w:p>
    <w:p>
      <w:pPr>
        <w:pStyle w:val="Heading1"/>
        <w:keepNext/>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record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record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the record. The rule paragraph under each letter follows verbatim. The full text of paragraphs (g) to (l), examples included, is Attachment A, one document shared by every record and named by its content hash, aef7a94680824e5574780e1f614702189d9dafcf1fde58558ff3ac782d3dcd5a.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keepNext/>
      </w:pPr>
      <w:r>
        <w:t>Six-factor findings</w:t>
      </w:r>
    </w:p>
    <w:p>
      <w:pPr>
        <w:keepNext/>
      </w:pPr>
      <w:r>
        <w:t>Per factor: one sentence generated from the facts on record (each clause names its cell), then the facts on record the computations read, then the complete first sentence of every evidenced cell with its status, then the cells marked not applicable with the reason. The full sourced text, quote and document of every cell is in the evidence ledger and on the Evaluation view.</w:t>
      </w:r>
    </w:p>
    <w:tbl>
      <w:tblPr>
        <w:tblStyle w:val="TableGrid"/>
        <w:tblW w:type="dxa" w:w="9360"/>
        <w:tblLayout w:type="fixed"/>
        <w:tblLook w:firstColumn="1" w:firstRow="1" w:lastColumn="0" w:lastRow="0" w:noHBand="0" w:noVBand="1" w:val="04A0"/>
      </w:tblPr>
      <w:tblGrid>
        <w:gridCol w:w="1728"/>
        <w:gridCol w:w="7632"/>
      </w:tblGrid>
      <w:tr>
        <w:trPr>
          <w:tblHeader/>
          <w:cantSplit/>
        </w:trPr>
        <w:tc>
          <w:tcPr>
            <w:tcW w:type="dxa" w:w="1728"/>
          </w:tcPr>
          <w:p>
            <w:r>
              <w:t>Factor</w:t>
            </w:r>
          </w:p>
        </w:tc>
        <w:tc>
          <w:tcPr>
            <w:tcW w:type="dxa" w:w="7632"/>
          </w:tcPr>
          <w:p>
            <w:r>
              <w:t>Findings (cell, status, first sentence)</w:t>
            </w:r>
          </w:p>
        </w:tc>
      </w:tr>
      <w:tr>
        <w:trPr>
          <w:cantSplit/>
        </w:trPr>
        <w:tc>
          <w:tcPr>
            <w:tcW w:type="dxa" w:w="1728"/>
          </w:tcPr>
          <w:p>
            <w:r>
              <w:t>1. Performance (g)</w:t>
            </w:r>
          </w:p>
        </w:tc>
        <w:tc>
          <w:tcPr>
            <w:tcW w:type="dxa" w:w="7632"/>
          </w:tcPr>
          <w:p>
            <w:r>
              <w:t>On performance (g), the record holds 4 years of history since 2022-04-01 (cell 1.11), a KS-PME of 1.5712 against PSP (cell 1.8) and a relative wealth ratio of 1.0918 against the peer composite (cell 1.12).</w:t>
            </w:r>
          </w:p>
          <w:p>
            <w:r>
              <w:t>Facts on record: 1.8 KS-PME 1.57 vs PSP (reference, not the benchmark). 1.11 inception 2022-04-01, 4 years. 1.12 peer relative wealth ratio 1.09, not a benchmark.</w:t>
            </w:r>
          </w:p>
          <w:p>
            <w:r>
              <w:t>1.1 Net total return series (partial): PARTIAL: Class I (primary, inception 4/1/2022) NAV/share at fiscal year-end (March 31): FY2023 $26.93 / FY2024 $30.57 / FY2025 $36.12 / FY2026 $39.03, from $25.00 at commencement.</w:t>
            </w:r>
          </w:p>
          <w:p>
            <w:r>
              <w:t>1.2 Trailing &amp; calendar-year returns (extracted-unverified): Class I (primary) FY total returns: FY2026 9.58% / FY2025 19.95% / FY2024 17.10% / FY2023 9.27% (period 4/1/2022-3/31/2023).</w:t>
            </w:r>
          </w:p>
          <w:p>
            <w:r>
              <w:t>1.3 Gross vs net spread (extracted-unverified): No gross-vs-net PERFORMANCE spread is printed (returns are net-only).</w:t>
            </w:r>
          </w:p>
          <w:p>
            <w:r>
              <w:t>1.4 Distribution history &amp; composition (extracted-unverified): No managed-distribution policy: 'The Fund does not have a policy or practice of maintaining a specified level of distributions to shareholders' (FY2026 report), intends to distribute at least 90% of annual net taxable income (RIC).</w:t>
            </w:r>
          </w:p>
          <w:p>
            <w:r>
              <w:t>1.8 Risk-adjusted metrics (PME etc) (computed): Meaningful benchmark (paragraph (k)), Cambridge Associates US PE benchmark scored 8 of 10.</w:t>
            </w:r>
          </w:p>
          <w:p>
            <w:r>
              <w:t>1.9 Stress-window performance (computed): Stress observation from the printed fiscal-year returns on record.</w:t>
            </w:r>
          </w:p>
          <w:p>
            <w:r>
              <w:t>1.11 Track record &amp; manager tenure (extracted-unverified): Fund organized as a Delaware statutory trust July 28, 2021, commenced operations April 1, 2022 - about 4 years of track record at the FY2026 report.</w:t>
            </w:r>
          </w:p>
          <w:p>
            <w:r>
              <w:t>1.12 Peer comparison (paragraphs (g) and (h)) (computed): Peer comparison (paragraphs (g) and (h)): evergreen private equity cohort, peers Hamilton Lane Private Assets Fund, StepStone Private Markets, KKR Private Equity Conglomerate LLC, AMG Pantheon Fund, LLC, fund return basis filed fiscal-year returns.</w:t>
            </w:r>
          </w:p>
          <w:p>
            <w:r>
              <w:t>Not applicable: 1.5 underlying Portfolio Fund/GP-level returns are LP-only reporting, filings disclose holdings at fair value (see 3.4/SOI), not underlying fund IRRs. 1.6 sub-annual return series not free-public for this wrapper. 1.7 sub-annual return series not free-public for this wrapper. 1.10 listed-CEF only.</w:t>
            </w:r>
          </w:p>
        </w:tc>
      </w:tr>
      <w:tr>
        <w:trPr>
          <w:cantSplit/>
        </w:trPr>
        <w:tc>
          <w:tcPr>
            <w:tcW w:type="dxa" w:w="1728"/>
          </w:tcPr>
          <w:p>
            <w:r>
              <w:t>2. Fees (h)</w:t>
            </w:r>
          </w:p>
        </w:tc>
        <w:tc>
          <w:tcPr>
            <w:tcW w:type="dxa" w:w="7632"/>
          </w:tcPr>
          <w:p>
            <w:r>
              <w:t>On fees and expenses (h), the management fee is 1.40% on managed assets (leverage-inclusive) (cell 2.1), the incentive fee is 12.5% (cell 2.2), the expense ratio is 5.02% (gross, before a 0.03% waiver, including the 1.60% incentive-fee drag, AFFE excluded (FY2026, Class I)) (cell 2.3) and the early repurchase fee is 2% &lt; 1 year (cell 2.7).</w:t>
            </w:r>
          </w:p>
          <w:p>
            <w:r>
              <w:t>Facts on record: 2.1 1.40% on managed assets (leverage-inclusive). 2.2 incentive fee: 12.5%. 2.3 5.02% expense ratio, gross, before a 0.03% waiver, including the 1.60% incentive-fee drag, AFFE excluded (FY2026, Class I). 2.4 AFFE 1.00%. 2.7 early repurchase fee: 2% &lt; 1 year.</w:t>
            </w:r>
          </w:p>
          <w:p>
            <w:r>
              <w:t>2.1 Management fee (rate AND base) (extracted-unverified): 1.40% annualized on MANAGED ASSETS, a leverage-inclusive base: total assets (including assets attributable to borrowings/indebtedness/preferred) minus liabilities OTHER than borrowing-related liabilities, calculated and accrued monthly as of the last business day of each month, paid quarterly in arrears within 5 business days of quarter NAV computation, base computed before Advisory/Incentive Fee accrual and share transactions.</w:t>
            </w:r>
          </w:p>
          <w:p>
            <w:r>
              <w:t>2.2 Incentive fee terms (extracted-unverified): Incentive Fee: 12.5% of the positive difference between quarterly net profits and the then-balance of the Loss Recovery Account (memorandum account, initial balance zero, increased each quarter by net losses, decreased not below zero by net profits), a fund-level loss-carryforward/high-water mechanism with NO preferred-return hurdle.</w:t>
            </w:r>
          </w:p>
          <w:p>
            <w:r>
              <w:t>2.3 Total expense ratio &amp; waivers (extracted-unverified): FY2026 ratios to average net assets: gross 5.02% I / 5.21% D / 5.85% A, net after waivers 4.99% / 5.18% / 5.82% (include incentive-fee drag 1.60/1.58/1.59% and interest expense, EXCLUDE underlying Portfolio Fund income/expenses).</w:t>
            </w:r>
          </w:p>
          <w:p>
            <w:r>
              <w:t>2.4 AFFE (extracted-unverified): AFFE line in the current (2026) fee table: 1.00% for each class (A/D/I), of net assets.</w:t>
            </w:r>
          </w:p>
          <w:p>
            <w:r>
              <w:t>2.5 Underlying GP economics (extracted-unverified): Printed underlying Portfolio Fund economics (2026 fee-table fn (6)): asset-based management fees generally 1.00% to 2.50%, plus performance compensation of up to 30% of net profits as carried interest, Portfolio Funds 'will generally be subject to a carried interest clawback.' Carry accrues at each Portfolio Fund irrespective of overall Fund performance (netting risk inherent to fund-of-funds).</w:t>
            </w:r>
          </w:p>
          <w:p>
            <w:r>
              <w:t>2.6 Loads &amp; servicing fees (extracted-unverified): Sales load: Class A maximum 3.50% of purchase amount (public offering price = NAV plus up to 3.50% charge), Class D and Class I: none (Class D may face selling-agent/intermediary transaction fees).</w:t>
            </w:r>
          </w:p>
          <w:p>
            <w:r>
              <w:t>2.7 Early repurchase fee (extracted-unverified): 2.00% of NAV early repurchase fee on any repurchase of Shares before the day immediately preceding the one-year anniversary of purchase, FIFO ordering ('first in-first out', SC TO-I), applies to all three classes (fee-table row: 2.00% A/D/I).</w:t>
            </w:r>
          </w:p>
          <w:p>
            <w:r>
              <w:t>2.9 Fee peer percentile (computed): Cohort placement (evergreen private equity cohort): mgmt fee: 50th percentile of cohort (n=5), at the median of 1.4 | expense ratio (bases differ, see notes): 90th percentile of cohort (n=5), above the median of 3.19 | repurchase cap: 50th percentile of cohort (n=5), at the median of 5.</w:t>
            </w:r>
          </w:p>
          <w:p>
            <w:r>
              <w:t>Not applicable: 2.8 CIT only. 2.10 requires the plan committee's own value-for-fees determination, workflow output, not public product data (inputs live in cells 2.1-2.9).</w:t>
            </w:r>
          </w:p>
        </w:tc>
      </w:tr>
      <w:tr>
        <w:trPr>
          <w:cantSplit/>
        </w:trPr>
        <w:tc>
          <w:tcPr>
            <w:tcW w:type="dxa" w:w="1728"/>
          </w:tcPr>
          <w:p>
            <w:r>
              <w:t>3. Liquidity (i)</w:t>
            </w:r>
          </w:p>
        </w:tc>
        <w:tc>
          <w:tcPr>
            <w:tcW w:type="dxa" w:w="7632"/>
          </w:tcPr>
          <w:p>
            <w:r>
              <w:t>On liquidity (i), the wrapper deals by quarterly offers, 5% cap per quarter on net assets, the repurchase program is active as of 2026-03-31 (cell 3.1), the plan's filed outflow proxy is 11.5% of the position per year (the plan record) and the structural verdict is partial with the scenario verdict conditional under this plan (ILLUSTRATIVE, cell 3.9).</w:t>
            </w:r>
          </w:p>
          <w:p>
            <w:r>
              <w:t>Facts on record: 3.1 quarterly dealing, 5% cap per quarter on net assets. 3.9 structural verdict partial, plan-independent.</w:t>
            </w:r>
          </w:p>
          <w:p>
            <w:r>
              <w:t>3.1 Wrapper liquidity terms (extracted-unverified): Discretionary quarterly tender offers under Rule 13e-4 - NOT an interval fund: the 2026 486BPOS facing sheet checks 'Registered Closed-End Fund' and leaves the 'Interval Fund (...Rule 23c-3...)' box UNCHECKED.</w:t>
            </w:r>
          </w:p>
          <w:p>
            <w:r>
              <w:t>3.2 Repurchase mechanics (extracted-unverified): Q2-2026 offer mechanics (SC TO-I filed 2026-06-01, Rule 13e-4 issuer tender, all three classes): SIZE up to ~5.00% of net assets (~$215,844,245.85 as of 4/30/2026).</w:t>
            </w:r>
          </w:p>
          <w:p>
            <w:r>
              <w:t>3.3 Repurchase history (extracted-unverified): N-CSR Note 7: four repurchase offers conducted in EACH of FY2026 and FY2025 - 6,433,068 Shares repurchased for $244,528,497 (FY2026) vs 2,378,429 Shares for $82,331,350 (FY2025), a ~3x year-over-year jump in dollars.</w:t>
            </w:r>
          </w:p>
          <w:p>
            <w:r>
              <w:t>3.4 Portfolio liquidity profile (extracted-unverified): As of 3/31/2026: net assets $4,123,522,171.</w:t>
            </w:r>
          </w:p>
          <w:p>
            <w:r>
              <w:t>3.6 Fund leverage &amp; facilities (extracted-unverified): Revolving Credit Facility with an 8-lender syndicate (Barclays Bank PLC, UBS AG, Mizuho Bank, Royal Bank of Canada, Mitsubishi UJF Trust and Banking Corporation [as spelled in the filing], Canadian Imperial Bank of Commerce, MUFG Bank, BNP Paribas SA): maximum permitted borrowings $1,700,000,000 (amended six times up from a printed original limit of $1,000,000), maturity March 5, 2027, rate SOFR+2.80% (or SONIA+2.92%) plus usage-dependent commitment fee, secured by assets of subsidiary Ares Landmark Private Markets Fund-D LLC, purpose: working capital/liquidity including warehouse financing of acquisitions.</w:t>
            </w:r>
          </w:p>
          <w:p>
            <w:r>
              <w:t>3.7 Plan participant liquidity demand (computed, this plan): Plan-side demand profile for this plan (Form 5500, plan year 2024-01-01 to 2024-12-31): 1,136 separated participants with balances = 14.9% of 7,620 accounts (the near-term liquidity tail), 5,878 active, 669 retirees in pay status, filed outflow proxy 11.53% of beginning net assets (Schedule H totals).</w:t>
            </w:r>
          </w:p>
          <w:p>
            <w:r>
              <w:t>3.8 Redemption stress test (computed, this plan): ILLUSTRATIVE redemption stress test for this plan: filed outflow proxy 11.53% of the position, slider assumption 7.2%, stressed demand 16.6% vs 20% annual wrapper capacity, within wrapper capacity (16.6% vs 20%) IF offers are not prorated. Source: this plan's liquidity match.</w:t>
            </w:r>
          </w:p>
          <w:p>
            <w:r>
              <w:t>3.9 Product-to-plan liquidity match (computed, this plan): Structural liquidity verdict PARTIAL (dealing terms on record, plan-independent). Scenario verdict under this plan (ILLUSTRATIVE): CONDITIONAL. Source: this plan's liquidity match.</w:t>
            </w:r>
          </w:p>
          <w:p>
            <w:r>
              <w:t>Not applicable: 3.5 CIT only.</w:t>
            </w:r>
          </w:p>
        </w:tc>
      </w:tr>
      <w:tr>
        <w:trPr>
          <w:cantSplit/>
        </w:trPr>
        <w:tc>
          <w:tcPr>
            <w:tcW w:type="dxa" w:w="1728"/>
          </w:tcPr>
          <w:p>
            <w:r>
              <w:t>4. Valuation (j)</w:t>
            </w:r>
          </w:p>
        </w:tc>
        <w:tc>
          <w:tcPr>
            <w:tcW w:type="dxa" w:w="7632"/>
          </w:tcPr>
          <w:p>
            <w:r>
              <w:t>On valuation (j), the holder transacts at NAV struck monthly (the registry descriptors) and the auditor is Ernst &amp; Young LLP (Big 4) (cell 4.5).</w:t>
            </w:r>
          </w:p>
          <w:p>
            <w:r>
              <w:t>Facts on record: 4.5 Ernst &amp; Young LLP (Big 4).</w:t>
            </w:r>
          </w:p>
          <w:p>
            <w:r>
              <w:t>4.1 Valuation policy &amp; NAV frequency (extracted-unverified): NAV frequency MONTHLY: each class as of close of business on the last business day of each calendar month, plus each repurchase date, any distribution date, and other Board-determined dates (each a 'Determination Date'), class NAVs calculated separately.</w:t>
            </w:r>
          </w:p>
          <w:p>
            <w:r>
              <w:t>4.2 Fair-value hierarchy (L1/2/3) (extracted-unverified): ASC 820-10 hierarchy at 3/31/2026: Level 1 $78,702,565 (all Short-Term Investments), Level 2 $0, Level 3 $194,007,718 (Direct Investments/Co-Investments $11,328,814 + Secondary Investments $182,678,904), total investments IN the hierarchy $272,710,283.</w:t>
            </w:r>
          </w:p>
          <w:p>
            <w:r>
              <w:t>4.3 Independent valuation agent (extracted-unverified): An independent third-party valuation service IS engaged, but its printed scope is narrow: it reviews 'the application of the market adjustment factor and certain idiosyncratic valuation adjustments', it does not independently value the holdings, and the firm is NOT NAMED anywhere on disk (searched all four documents for Houlihan/Duff/Kroll/Lincoln International/Murray Devine/Valuation Research/Alvarez/Stout: zero hits, 2026-08-15).</w:t>
            </w:r>
          </w:p>
          <w:p>
            <w:r>
              <w:t>4.4 Methodology by asset type (extracted-unverified): By asset type: (1) PORTFOLIO FUNDS (Secondary + Primary, ~123% of net assets), NAV practical expedient on latest manager/GP-reported NAV, adjusted for capital activity/events, (2) DIRECT/CO-INVESTMENTS and other Level 3 - EV analysis (market multiples applied to EBITDA or revenue from comparable transactions/companies, or DCF at market-consistent discount rates) plus yield analysis for non-control debt, (3) overlay: proprietary MAC-event market adjustment factor triggered by &gt;10% S&amp;P 500 monthly moves, plus idiosyncratic adjustments (IPO, bankruptcy, M&amp;A), (4) LIQUID ASSETS, independent third-party pricing services/broker quotes, exchange securities at last sale, &lt;=60-day paper at amortized cost, money funds at NAV.</w:t>
            </w:r>
          </w:p>
          <w:p>
            <w:r>
              <w:t>4.5 Auditor &amp; opinion (extracted-unverified): Ernst &amp; Young LLP (Big-4).</w:t>
            </w:r>
          </w:p>
          <w:p>
            <w:r>
              <w:t>4.6 NAV restatement history (extracted-unverified): None identified: searched all four on-disk Ares Private Markets Fund documents (N-CSR filed 2026-06-04, 486BPOS 2026-07-29, SC TO-I 2026-06-01, 424B3 2026-06-04) for 'restat' / 'error correction' / 'reprocess' on 2026-08-15, zero NAV-restatement or error-correction hits.</w:t>
            </w:r>
          </w:p>
          <w:p>
            <w:r>
              <w:t>Not applicable: 4.7 no market price for a non-listed NAV-transaction wrapper. 4.8 sub-annual return series not free-public for this wrapper. 4.9 CIT only.</w:t>
            </w:r>
          </w:p>
        </w:tc>
      </w:tr>
      <w:tr>
        <w:trPr>
          <w:cantSplit/>
        </w:trPr>
        <w:tc>
          <w:tcPr>
            <w:tcW w:type="dxa" w:w="1728"/>
          </w:tcPr>
          <w:p>
            <w:r>
              <w:t>5. Performance Benchmarks (k)</w:t>
            </w:r>
          </w:p>
        </w:tc>
        <w:tc>
          <w:tcPr>
            <w:tcW w:type="dxa" w:w="7632"/>
          </w:tcPr>
          <w:p>
            <w:r>
              <w:t>On performance benchmarks (k), the meaningful benchmark is Cambridge Associates US PE benchmark, scored 8 of 10 (cell 5.3) and meaningful benchmark by descriptor. No comparison until its series is held.</w:t>
            </w:r>
          </w:p>
          <w:p>
            <w:r>
              <w:t>Facts on record: 5.3 Cambridge PE benchmark selected by descriptor, 8 of 10.</w:t>
            </w:r>
          </w:p>
          <w:p>
            <w:r>
              <w:t>5.1 Self-declared benchmark (extracted-unverified): Broad-based comparison index in the FY2026 shareholder report: MSCI World Index, printed as a row in the Average Annual Total Returns table (1yr 18.90% / 3yr 16.77% / 10.28% since 4/1/2022, footnoted that 4/1/2022 is not the index's inception) and as the comparator in the $1,000,000 Class I growth chart ('a free float-adjusted market capitalization weighted index... 23 developed market country indices').</w:t>
            </w:r>
          </w:p>
          <w:p>
            <w:r>
              <w:t>5.3 Alt asset-class indices (computed): Candidates evaluated for the meaningful-benchmark slot, paragraph (k) (Tark benchmark rubric, 10 points, threshold 6 of 10, strategy gate below 2 of 3 ineligible, an index published by the fund's own adviser ineligible).</w:t>
            </w:r>
          </w:p>
          <w:p>
            <w:r>
              <w:t>5.4 Peer universe &amp; returns (computed): Peer cohort: evergreen private equity cohort (n=5: Hamilton Lane Private Assets Fund, StepStone Private Markets, KKR Private Equity Conglomerate LLC, Ares Private Markets Fund, AMG Pantheon Fund, LLC).</w:t>
            </w:r>
          </w:p>
          <w:p>
            <w:r>
              <w:t>5.5 PME / Direct Alpha inputs (computed): PME inputs (computed, public market series Listed private equity investable proxy (PSP), reference comparison, not the meaningful benchmark): window 2022-04-01 to 2026-03-31 (series comparison).</w:t>
            </w:r>
          </w:p>
          <w:p>
            <w:r>
              <w:t>5.6 Benchmark suitability memo (computed): Benchmark suitability (Tark benchmark rubric, 10 points).</w:t>
            </w:r>
          </w:p>
          <w:p>
            <w:r>
              <w:t>5.7 Case-law tracker (partial): Anderson v. Intel Corp. Investment Policy Committee, No. 25-498 (U.S.).</w:t>
            </w:r>
          </w:p>
        </w:tc>
      </w:tr>
      <w:tr>
        <w:trPr>
          <w:cantSplit/>
        </w:trPr>
        <w:tc>
          <w:tcPr>
            <w:tcW w:type="dxa" w:w="1728"/>
          </w:tcPr>
          <w:p>
            <w:r>
              <w:t>6. Complexity (l)</w:t>
            </w:r>
          </w:p>
        </w:tc>
        <w:tc>
          <w:tcPr>
            <w:tcW w:type="dxa" w:w="7632"/>
          </w:tcPr>
          <w:p>
            <w:r>
              <w:t>On complexity (l), the wrapper is tender-offer fund (cell 6.1), tax reporting is Form 1099 (cell 6.4) and cells 6.6 and 6.8 are advisor-completed under paragraph (l).</w:t>
            </w:r>
          </w:p>
          <w:p>
            <w:r>
              <w:t>Facts on record: 6.1 tender-offer fund. 6.4 Form 1099.</w:t>
            </w:r>
          </w:p>
          <w:p>
            <w:r>
              <w:t>6.1 Structure map (extracted-unverified): Legal form: Delaware statutory trust (organized 7/28/2021), registered closed-end, non-diversified management investment company, RIC under Subchapter M with tax year end September 30 (fiscal year end March 31).</w:t>
            </w:r>
          </w:p>
          <w:p>
            <w:r>
              <w:t>6.2 Strategy &amp; instrument complexity (extracted-unverified): Secondaries-led evergreen private equity fund of funds.</w:t>
            </w:r>
          </w:p>
          <w:p>
            <w:r>
              <w:t>6.3 Conflicts &amp; affiliated transactions (extracted-unverified): 486BPOS POTENTIAL CONFLICTS OF INTEREST section: Adviser is a fiduciary, but purchasing Shares deems each shareholder to have acknowledged and WAIVED claims on disclosed actual/potential conflicts, overlapping Other Managed Accounts may reduce opportunities, time-allocation conflicts.</w:t>
            </w:r>
          </w:p>
          <w:p>
            <w:r>
              <w:t>6.4 Tax reporting (1099 vs K-1) (extracted-unverified): Form 1099-DIV: each year a statement identifying the amount and character (ordinary income, qualified dividend income, long-term capital gain) of distributions is mailed to shareholders (Fund is a RIC under Subchapter M, tax year end Sept 30).</w:t>
            </w:r>
          </w:p>
          <w:p>
            <w:r>
              <w:t>6.5 Service-provider web (extracted-unverified): Per FY2026 N-CSR Note 4 and SC TO-I: Investment Adviser, Ares Capital Management II LLC, 245 Park Avenue, 44th Floor, New York, NY (wholly owned subsidiary of Ares Management Corporation).</w:t>
            </w:r>
          </w:p>
          <w:p>
            <w:r>
              <w:t>Not applicable: 6.6 requires plan-specific recordkeeper/trading integration facts, workflow cell completed per plan engagement, not public product data. 6.7 requires plan-committee participant-communication assessment, workflow cell, product-side inputs already evidenced in 6.1/6.2/6.4. 6.8 workflow, not data.</w:t>
            </w:r>
          </w:p>
        </w:tc>
      </w:tr>
    </w:tbl>
    <w:p>
      <w:pPr>
        <w:pStyle w:val="Heading2"/>
        <w:keepNext/>
      </w:pPr>
      <w:r>
        <w:t>Fees and terms on record</w:t>
      </w:r>
    </w:p>
    <w:p>
      <w:pPr>
        <w:keepNext/>
      </w:pPr>
      <w:r>
        <w:t>Each line is the fact read from the cell, or the cell's status word when none is on record. Full text and provenance are in the evidence ledger.</w:t>
      </w:r>
    </w:p>
    <w:tbl>
      <w:tblPr>
        <w:tblStyle w:val="TableGrid"/>
        <w:tblW w:type="dxa" w:w="9360"/>
        <w:tblLayout w:type="fixed"/>
        <w:tblLook w:firstColumn="1" w:firstRow="1" w:lastColumn="0" w:lastRow="0" w:noHBand="0" w:noVBand="1" w:val="04A0"/>
      </w:tblPr>
      <w:tblGrid>
        <w:gridCol w:w="2880"/>
        <w:gridCol w:w="3600"/>
        <w:gridCol w:w="2880"/>
      </w:tblGrid>
      <w:tr>
        <w:trPr>
          <w:tblHeader/>
          <w:cantSplit/>
        </w:trPr>
        <w:tc>
          <w:tcPr>
            <w:tcW w:type="dxa" w:w="2880"/>
          </w:tcPr>
          <w:p>
            <w:r>
              <w:t>Cell</w:t>
            </w:r>
          </w:p>
        </w:tc>
        <w:tc>
          <w:tcPr>
            <w:tcW w:type="dxa" w:w="3600"/>
          </w:tcPr>
          <w:p>
            <w:r>
              <w:t>Headline</w:t>
            </w:r>
          </w:p>
        </w:tc>
        <w:tc>
          <w:tcPr>
            <w:tcW w:type="dxa" w:w="2880"/>
          </w:tcPr>
          <w:p>
            <w:r>
              <w:t>Status</w:t>
            </w:r>
          </w:p>
        </w:tc>
      </w:tr>
      <w:tr>
        <w:trPr>
          <w:cantSplit/>
        </w:trPr>
        <w:tc>
          <w:tcPr>
            <w:tcW w:type="dxa" w:w="2880"/>
          </w:tcPr>
          <w:p>
            <w:r>
              <w:t>2.1 Management fee (rate AND base)</w:t>
            </w:r>
          </w:p>
        </w:tc>
        <w:tc>
          <w:tcPr>
            <w:tcW w:type="dxa" w:w="3600"/>
          </w:tcPr>
          <w:p>
            <w:r>
              <w:t>1.40% on managed assets (leverage-inclusive)</w:t>
            </w:r>
          </w:p>
        </w:tc>
        <w:tc>
          <w:tcPr>
            <w:tcW w:type="dxa" w:w="2880"/>
          </w:tcPr>
          <w:p>
            <w:r>
              <w:t>extracted-unverified</w:t>
            </w:r>
          </w:p>
        </w:tc>
      </w:tr>
      <w:tr>
        <w:trPr>
          <w:cantSplit/>
        </w:trPr>
        <w:tc>
          <w:tcPr>
            <w:tcW w:type="dxa" w:w="2880"/>
          </w:tcPr>
          <w:p>
            <w:r>
              <w:t>2.2 Incentive fee terms</w:t>
            </w:r>
          </w:p>
        </w:tc>
        <w:tc>
          <w:tcPr>
            <w:tcW w:type="dxa" w:w="3600"/>
          </w:tcPr>
          <w:p>
            <w:r>
              <w:t>incentive fee: 12.5%</w:t>
            </w:r>
          </w:p>
        </w:tc>
        <w:tc>
          <w:tcPr>
            <w:tcW w:type="dxa" w:w="2880"/>
          </w:tcPr>
          <w:p>
            <w:r>
              <w:t>extracted-unverified</w:t>
            </w:r>
          </w:p>
        </w:tc>
      </w:tr>
      <w:tr>
        <w:trPr>
          <w:cantSplit/>
        </w:trPr>
        <w:tc>
          <w:tcPr>
            <w:tcW w:type="dxa" w:w="2880"/>
          </w:tcPr>
          <w:p>
            <w:r>
              <w:t>2.3 Total expense ratio &amp; waivers</w:t>
            </w:r>
          </w:p>
        </w:tc>
        <w:tc>
          <w:tcPr>
            <w:tcW w:type="dxa" w:w="3600"/>
          </w:tcPr>
          <w:p>
            <w:r>
              <w:t>5.02% expense ratio, gross, before a 0.03% waiver, including the 1.60% incentive-fee drag, AFFE excluded (FY2026, Class I)</w:t>
            </w:r>
          </w:p>
        </w:tc>
        <w:tc>
          <w:tcPr>
            <w:tcW w:type="dxa" w:w="2880"/>
          </w:tcPr>
          <w:p>
            <w:r>
              <w:t>extracted-unverified</w:t>
            </w:r>
          </w:p>
        </w:tc>
      </w:tr>
      <w:tr>
        <w:trPr>
          <w:cantSplit/>
        </w:trPr>
        <w:tc>
          <w:tcPr>
            <w:tcW w:type="dxa" w:w="2880"/>
          </w:tcPr>
          <w:p>
            <w:r>
              <w:t>2.4 AFFE</w:t>
            </w:r>
          </w:p>
        </w:tc>
        <w:tc>
          <w:tcPr>
            <w:tcW w:type="dxa" w:w="3600"/>
          </w:tcPr>
          <w:p>
            <w:r>
              <w:t>AFFE 1.00%</w:t>
            </w:r>
          </w:p>
        </w:tc>
        <w:tc>
          <w:tcPr>
            <w:tcW w:type="dxa" w:w="2880"/>
          </w:tcPr>
          <w:p>
            <w:r>
              <w:t>extracted-unverified</w:t>
            </w:r>
          </w:p>
        </w:tc>
      </w:tr>
      <w:tr>
        <w:trPr>
          <w:cantSplit/>
        </w:trPr>
        <w:tc>
          <w:tcPr>
            <w:tcW w:type="dxa" w:w="2880"/>
          </w:tcPr>
          <w:p>
            <w:r>
              <w:t>2.6 Loads &amp; servicing fees</w:t>
            </w:r>
          </w:p>
        </w:tc>
        <w:tc>
          <w:tcPr>
            <w:tcW w:type="dxa" w:w="3600"/>
          </w:tcPr>
          <w:p>
            <w:r>
              <w:t>no fact on record for this cell</w:t>
            </w:r>
          </w:p>
        </w:tc>
        <w:tc>
          <w:tcPr>
            <w:tcW w:type="dxa" w:w="2880"/>
          </w:tcPr>
          <w:p>
            <w:r>
              <w:t>extracted-unverified</w:t>
            </w:r>
          </w:p>
        </w:tc>
      </w:tr>
      <w:tr>
        <w:trPr>
          <w:cantSplit/>
        </w:trPr>
        <w:tc>
          <w:tcPr>
            <w:tcW w:type="dxa" w:w="2880"/>
          </w:tcPr>
          <w:p>
            <w:r>
              <w:t>2.7 Early repurchase fee</w:t>
            </w:r>
          </w:p>
        </w:tc>
        <w:tc>
          <w:tcPr>
            <w:tcW w:type="dxa" w:w="3600"/>
          </w:tcPr>
          <w:p>
            <w:r>
              <w:t>early repurchase fee: 2% &lt; 1 year</w:t>
            </w:r>
          </w:p>
        </w:tc>
        <w:tc>
          <w:tcPr>
            <w:tcW w:type="dxa" w:w="2880"/>
          </w:tcPr>
          <w:p>
            <w:r>
              <w:t>extracted-unverified</w:t>
            </w:r>
          </w:p>
        </w:tc>
      </w:tr>
      <w:tr>
        <w:trPr>
          <w:cantSplit/>
        </w:trPr>
        <w:tc>
          <w:tcPr>
            <w:tcW w:type="dxa" w:w="2880"/>
          </w:tcPr>
          <w:p>
            <w:r>
              <w:t>6.4 Tax reporting (1099 vs K-1)</w:t>
            </w:r>
          </w:p>
        </w:tc>
        <w:tc>
          <w:tcPr>
            <w:tcW w:type="dxa" w:w="3600"/>
          </w:tcPr>
          <w:p>
            <w:r>
              <w:t>Form 1099</w:t>
            </w:r>
          </w:p>
        </w:tc>
        <w:tc>
          <w:tcPr>
            <w:tcW w:type="dxa" w:w="2880"/>
          </w:tcPr>
          <w:p>
            <w:r>
              <w:t>extracted-unverified</w:t>
            </w:r>
          </w:p>
        </w:tc>
      </w:tr>
    </w:tbl>
    <w:p>
      <w:pPr>
        <w:pStyle w:val="Heading1"/>
        <w:keepNext/>
      </w:pPr>
      <w:r>
        <w:t>Benchmark selection and justification</w:t>
      </w:r>
    </w:p>
    <w:p>
      <w:r>
        <w:t>Return basis for every comparison in this section: filed fiscal-year returns.</w:t>
      </w:r>
    </w:p>
    <w:p>
      <w:pPr>
        <w:pStyle w:val="Heading2"/>
        <w:keepNext/>
      </w:pPr>
      <w:r>
        <w:t>Ledger: every candidate and its outcome</w:t>
      </w:r>
    </w:p>
    <w:p>
      <w:pPr>
        <w:keepNext/>
      </w:pPr>
      <w:r>
        <w:t>Tark benchmark rubric, 10 points, threshold 6 of 10, strategy gate 2 of 3, affiliated providers ineligible. Max attainable by an eligible candidate on held data 8 of 10.</w:t>
      </w:r>
    </w:p>
    <w:tbl>
      <w:tblPr>
        <w:tblStyle w:val="TableGrid"/>
        <w:tblW w:type="dxa" w:w="9360"/>
        <w:tblLayout w:type="fixed"/>
        <w:tblLook w:firstColumn="1" w:firstRow="1" w:lastColumn="0" w:lastRow="0" w:noHBand="0" w:noVBand="1" w:val="04A0"/>
      </w:tblPr>
      <w:tblGrid>
        <w:gridCol w:w="1584"/>
        <w:gridCol w:w="2736"/>
        <w:gridCol w:w="1584"/>
        <w:gridCol w:w="864"/>
        <w:gridCol w:w="2592"/>
      </w:tblGrid>
      <w:tr>
        <w:trPr>
          <w:tblHeader/>
          <w:cantSplit/>
        </w:trPr>
        <w:tc>
          <w:tcPr>
            <w:tcW w:type="dxa" w:w="1584"/>
          </w:tcPr>
          <w:p>
            <w:r>
              <w:t>Slot</w:t>
            </w:r>
          </w:p>
        </w:tc>
        <w:tc>
          <w:tcPr>
            <w:tcW w:type="dxa" w:w="2736"/>
          </w:tcPr>
          <w:p>
            <w:r>
              <w:t>Candidate</w:t>
            </w:r>
          </w:p>
        </w:tc>
        <w:tc>
          <w:tcPr>
            <w:tcW w:type="dxa" w:w="1584"/>
          </w:tcPr>
          <w:p>
            <w:r>
              <w:t>Lane</w:t>
            </w:r>
          </w:p>
        </w:tc>
        <w:tc>
          <w:tcPr>
            <w:tcW w:type="dxa" w:w="864"/>
          </w:tcPr>
          <w:p>
            <w:r>
              <w:t>Score</w:t>
            </w:r>
          </w:p>
        </w:tc>
        <w:tc>
          <w:tcPr>
            <w:tcW w:type="dxa" w:w="2592"/>
          </w:tcPr>
          <w:p>
            <w:r>
              <w:t>Outcome</w:t>
            </w:r>
          </w:p>
        </w:tc>
      </w:tr>
      <w:tr>
        <w:trPr>
          <w:cantSplit/>
        </w:trPr>
        <w:tc>
          <w:tcPr>
            <w:tcW w:type="dxa" w:w="1584"/>
          </w:tcPr>
          <w:p>
            <w:r>
              <w:t>Meaningful benchmark (paragraph (k))</w:t>
            </w:r>
          </w:p>
        </w:tc>
        <w:tc>
          <w:tcPr>
            <w:tcW w:type="dxa" w:w="2736"/>
          </w:tcPr>
          <w:p>
            <w:r>
              <w:t>Cambridge Associates US PE benchmark</w:t>
            </w:r>
          </w:p>
        </w:tc>
        <w:tc>
          <w:tcPr>
            <w:tcW w:type="dxa" w:w="1584"/>
          </w:tcPr>
          <w:p>
            <w:r>
              <w:t>published strategy index</w:t>
            </w:r>
          </w:p>
        </w:tc>
        <w:tc>
          <w:tcPr>
            <w:tcW w:type="dxa" w:w="864"/>
          </w:tcPr>
          <w:p>
            <w:r>
              <w:t>8 of 10</w:t>
            </w:r>
          </w:p>
        </w:tc>
        <w:tc>
          <w:tcPr>
            <w:tcW w:type="dxa" w:w="2592"/>
          </w:tcPr>
          <w:p>
            <w:r>
              <w:t>selected. Meaningful benchmark by descriptor. No comparison until its series is held.</w:t>
            </w:r>
          </w:p>
        </w:tc>
      </w:tr>
      <w:tr>
        <w:trPr>
          <w:cantSplit/>
        </w:trPr>
        <w:tc>
          <w:tcPr>
            <w:tcW w:type="dxa" w:w="1584"/>
          </w:tcPr>
          <w:p>
            <w:r>
              <w:t>Reference comparison, not the meaningful benchmark</w:t>
            </w:r>
          </w:p>
        </w:tc>
        <w:tc>
          <w:tcPr>
            <w:tcW w:type="dxa" w:w="2736"/>
          </w:tcPr>
          <w:p>
            <w:r>
              <w:t>Listed private equity investable proxy (PSP)</w:t>
            </w:r>
          </w:p>
        </w:tc>
        <w:tc>
          <w:tcPr>
            <w:tcW w:type="dxa" w:w="1584"/>
          </w:tcPr>
          <w:p>
            <w:r>
              <w:t>exchange-traded strategy proxy</w:t>
            </w:r>
          </w:p>
        </w:tc>
        <w:tc>
          <w:tcPr>
            <w:tcW w:type="dxa" w:w="864"/>
          </w:tcPr>
          <w:p>
            <w:r>
              <w:t>7 of 10</w:t>
            </w:r>
          </w:p>
        </w:tc>
        <w:tc>
          <w:tcPr>
            <w:tcW w:type="dxa" w:w="2592"/>
          </w:tcPr>
          <w:p>
            <w:r>
              <w:t>KS-PME 1.5712, Direct Alpha 11.97%/yr, 2022-04-01 to 2026-03-31</w:t>
            </w:r>
          </w:p>
        </w:tc>
      </w:tr>
      <w:tr>
        <w:trPr>
          <w:cantSplit/>
        </w:trPr>
        <w:tc>
          <w:tcPr>
            <w:tcW w:type="dxa" w:w="1584"/>
          </w:tcPr>
          <w:p>
            <w:r>
              <w:t>SEC-required comparator</w:t>
            </w:r>
          </w:p>
        </w:tc>
        <w:tc>
          <w:tcPr>
            <w:tcW w:type="dxa" w:w="2736"/>
          </w:tcPr>
          <w:p>
            <w:r>
              <w:t>MSCI World Index</w:t>
            </w:r>
          </w:p>
        </w:tc>
        <w:tc>
          <w:tcPr>
            <w:tcW w:type="dxa" w:w="1584"/>
          </w:tcPr>
          <w:p>
            <w:r>
              <w:t>fund-declared benchmark or SEC-required comparator</w:t>
            </w:r>
          </w:p>
        </w:tc>
        <w:tc>
          <w:tcPr>
            <w:tcW w:type="dxa" w:w="864"/>
          </w:tcPr>
          <w:p>
            <w:r/>
          </w:p>
        </w:tc>
        <w:tc>
          <w:tcPr>
            <w:tcW w:type="dxa" w:w="2592"/>
          </w:tcPr>
          <w:p>
            <w:r>
              <w:t>held, scored 6 of 10, fails the strategy gate (strategy match 1 of 3), KS-PME 1.1283, Direct Alpha 3.07%/yr</w:t>
            </w:r>
          </w:p>
        </w:tc>
      </w:tr>
      <w:tr>
        <w:trPr>
          <w:cantSplit/>
        </w:trPr>
        <w:tc>
          <w:tcPr>
            <w:tcW w:type="dxa" w:w="1584"/>
          </w:tcPr>
          <w:p>
            <w:r>
              <w:t>Peer comparison (paragraphs (g) and (h))</w:t>
            </w:r>
          </w:p>
        </w:tc>
        <w:tc>
          <w:tcPr>
            <w:tcW w:type="dxa" w:w="2736"/>
          </w:tcPr>
          <w:p>
            <w:r>
              <w:t>evergreen private equity cohort</w:t>
            </w:r>
          </w:p>
        </w:tc>
        <w:tc>
          <w:tcPr>
            <w:tcW w:type="dxa" w:w="1584"/>
          </w:tcPr>
          <w:p>
            <w:r>
              <w:t>peer cohort</w:t>
            </w:r>
          </w:p>
        </w:tc>
        <w:tc>
          <w:tcPr>
            <w:tcW w:type="dxa" w:w="864"/>
          </w:tcPr>
          <w:p>
            <w:r>
              <w:t>not scored</w:t>
            </w:r>
          </w:p>
        </w:tc>
        <w:tc>
          <w:tcPr>
            <w:tcW w:type="dxa" w:w="2592"/>
          </w:tcPr>
          <w:p>
            <w:r>
              <w:t>relative wealth ratio 1.0918, annualized excess return 2.22%/yr (not a public market equivalent), FY2023 to FY2026 (years to 03-31)</w:t>
            </w:r>
          </w:p>
        </w:tc>
      </w:tr>
      <w:tr>
        <w:trPr>
          <w:cantSplit/>
        </w:trPr>
        <w:tc>
          <w:tcPr>
            <w:tcW w:type="dxa" w:w="1584"/>
          </w:tcPr>
          <w:p>
            <w:r>
              <w:t>rejected</w:t>
            </w:r>
          </w:p>
        </w:tc>
        <w:tc>
          <w:tcPr>
            <w:tcW w:type="dxa" w:w="2736"/>
          </w:tcPr>
          <w:p>
            <w:r>
              <w:t>Listed private equity investable proxy (PSP)</w:t>
            </w:r>
          </w:p>
        </w:tc>
        <w:tc>
          <w:tcPr>
            <w:tcW w:type="dxa" w:w="1584"/>
          </w:tcPr>
          <w:p>
            <w:r>
              <w:t>exchange-traded strategy proxy</w:t>
            </w:r>
          </w:p>
        </w:tc>
        <w:tc>
          <w:tcPr>
            <w:tcW w:type="dxa" w:w="864"/>
          </w:tcPr>
          <w:p>
            <w:r>
              <w:t>7 of 10</w:t>
            </w:r>
          </w:p>
        </w:tc>
        <w:tc>
          <w:tcPr>
            <w:tcW w:type="dxa" w:w="2592"/>
          </w:tcPr>
          <w:p>
            <w:r>
              <w:t>ranked below the selected candidate: 7 of 10 vs 8 of 10 for Cambridge PE benchmark</w:t>
            </w:r>
          </w:p>
        </w:tc>
      </w:tr>
      <w:tr>
        <w:trPr>
          <w:cantSplit/>
        </w:trPr>
        <w:tc>
          <w:tcPr>
            <w:tcW w:type="dxa" w:w="1584"/>
          </w:tcPr>
          <w:p>
            <w:r>
              <w:t>rejected</w:t>
            </w:r>
          </w:p>
        </w:tc>
        <w:tc>
          <w:tcPr>
            <w:tcW w:type="dxa" w:w="2736"/>
          </w:tcPr>
          <w:p>
            <w:r>
              <w:t>MSCI World investable proxy (URTH)</w:t>
            </w:r>
          </w:p>
        </w:tc>
        <w:tc>
          <w:tcPr>
            <w:tcW w:type="dxa" w:w="1584"/>
          </w:tcPr>
          <w:p>
            <w:r>
              <w:t>fund-declared benchmark or SEC-required comparator</w:t>
            </w:r>
          </w:p>
        </w:tc>
        <w:tc>
          <w:tcPr>
            <w:tcW w:type="dxa" w:w="864"/>
          </w:tcPr>
          <w:p>
            <w:r>
              <w:t>6 of 10</w:t>
            </w:r>
          </w:p>
        </w:tc>
        <w:tc>
          <w:tcPr>
            <w:tcW w:type="dxa" w:w="2592"/>
          </w:tcPr>
          <w:p>
            <w:r>
              <w:t>rejected: strategy gate (score 6 of 10 but strategy match 1 of 3)</w:t>
            </w:r>
          </w:p>
        </w:tc>
      </w:tr>
    </w:tbl>
    <w:p>
      <w:pPr>
        <w:keepNext/>
      </w:pPr>
      <w:r>
        <w:t>The rubric's criteria, 10 points in all:</w:t>
      </w:r>
    </w:p>
    <w:tbl>
      <w:tblPr>
        <w:tblStyle w:val="TableGrid"/>
        <w:tblW w:type="dxa" w:w="9360"/>
        <w:tblLayout w:type="fixed"/>
        <w:tblLook w:firstColumn="1" w:firstRow="1" w:lastColumn="0" w:lastRow="0" w:noHBand="0" w:noVBand="1" w:val="04A0"/>
      </w:tblPr>
      <w:tblGrid>
        <w:gridCol w:w="2592"/>
        <w:gridCol w:w="1008"/>
        <w:gridCol w:w="5760"/>
      </w:tblGrid>
      <w:tr>
        <w:trPr>
          <w:tblHeader/>
          <w:cantSplit/>
        </w:trPr>
        <w:tc>
          <w:tcPr>
            <w:tcW w:type="dxa" w:w="2592"/>
          </w:tcPr>
          <w:p>
            <w:r>
              <w:t>Criterion</w:t>
            </w:r>
          </w:p>
        </w:tc>
        <w:tc>
          <w:tcPr>
            <w:tcW w:type="dxa" w:w="1008"/>
          </w:tcPr>
          <w:p>
            <w:r>
              <w:t>Points</w:t>
            </w:r>
          </w:p>
        </w:tc>
        <w:tc>
          <w:tcPr>
            <w:tcW w:type="dxa" w:w="5760"/>
          </w:tcPr>
          <w:p>
            <w:r>
              <w:t>Definition</w:t>
            </w:r>
          </w:p>
        </w:tc>
      </w:tr>
      <w:tr>
        <w:trPr>
          <w:cantSplit/>
        </w:trPr>
        <w:tc>
          <w:tcPr>
            <w:tcW w:type="dxa" w:w="2592"/>
          </w:tcPr>
          <w:p>
            <w:r>
              <w:t>Strategy match</w:t>
            </w:r>
          </w:p>
        </w:tc>
        <w:tc>
          <w:tcPr>
            <w:tcW w:type="dxa" w:w="1008"/>
          </w:tcPr>
          <w:p>
            <w:r>
              <w:t>3</w:t>
            </w:r>
          </w:p>
        </w:tc>
        <w:tc>
          <w:tcPr>
            <w:tcW w:type="dxa" w:w="5760"/>
          </w:tcPr>
          <w:p>
            <w:r>
              <w:t>how closely the candidate's asset class and sub-strategy match the fund's, 3 for the same sub-strategy, 2 for the same asset class, 1 for an adjacent one</w:t>
            </w:r>
          </w:p>
        </w:tc>
      </w:tr>
      <w:tr>
        <w:trPr>
          <w:cantSplit/>
        </w:trPr>
        <w:tc>
          <w:tcPr>
            <w:tcW w:type="dxa" w:w="2592"/>
          </w:tcPr>
          <w:p>
            <w:r>
              <w:t>Risk and liquidity match</w:t>
            </w:r>
          </w:p>
        </w:tc>
        <w:tc>
          <w:tcPr>
            <w:tcW w:type="dxa" w:w="1008"/>
          </w:tcPr>
          <w:p>
            <w:r>
              <w:t>3</w:t>
            </w:r>
          </w:p>
        </w:tc>
        <w:tc>
          <w:tcPr>
            <w:tcW w:type="dxa" w:w="5760"/>
          </w:tcPr>
          <w:p>
            <w:r>
              <w:t>whether the candidate's liquidity process matches the fund's dealing terms on record (cadence, caps, gating, program status), 3 for a like-for-like process</w:t>
            </w:r>
          </w:p>
        </w:tc>
      </w:tr>
      <w:tr>
        <w:trPr>
          <w:cantSplit/>
        </w:trPr>
        <w:tc>
          <w:tcPr>
            <w:tcW w:type="dxa" w:w="2592"/>
          </w:tcPr>
          <w:p>
            <w:r>
              <w:t>Provider independence</w:t>
            </w:r>
          </w:p>
        </w:tc>
        <w:tc>
          <w:tcPr>
            <w:tcW w:type="dxa" w:w="1008"/>
          </w:tcPr>
          <w:p>
            <w:r>
              <w:t>2</w:t>
            </w:r>
          </w:p>
        </w:tc>
        <w:tc>
          <w:tcPr>
            <w:tcW w:type="dxa" w:w="5760"/>
          </w:tcPr>
          <w:p>
            <w:r>
              <w:t>2 unless the registry's affiliation map ties the candidate's publisher to one of the fund's advisers, in which case 0 and the candidate is ineligible</w:t>
            </w:r>
          </w:p>
        </w:tc>
      </w:tr>
      <w:tr>
        <w:trPr>
          <w:cantSplit/>
        </w:trPr>
        <w:tc>
          <w:tcPr>
            <w:tcW w:type="dxa" w:w="2592"/>
          </w:tcPr>
          <w:p>
            <w:r>
              <w:t>Data held</w:t>
            </w:r>
          </w:p>
        </w:tc>
        <w:tc>
          <w:tcPr>
            <w:tcW w:type="dxa" w:w="1008"/>
          </w:tcPr>
          <w:p>
            <w:r>
              <w:t>2</w:t>
            </w:r>
          </w:p>
        </w:tc>
        <w:tc>
          <w:tcPr>
            <w:tcW w:type="dxa" w:w="5760"/>
          </w:tcPr>
          <w:p>
            <w:r>
              <w:t>2 when the candidate's series is in the record, 0 when it is only cited</w:t>
            </w:r>
          </w:p>
        </w:tc>
      </w:tr>
    </w:tbl>
    <w:p>
      <w:r>
        <w:t>Metrics, each defined once: KS-PME: the fund's growth divided by the growth of the same cash in the public market series over the same window (Kaplan-Schoar public market equivalent). Above 1.0 the fund led the series. Direct Alpha: the fund's annualized excess return over the public market series on the same two flows (Gredil, Griffiths and Stucke). Zero is series-like. relative wealth ratio: the fund's cumulative growth divided by the comparator's over identical periods. Above 1.0 the fund grew more. Not a PME: the comparator is appraisal-based and cannot be bought.</w:t>
      </w:r>
    </w:p>
    <w:p>
      <w:pPr>
        <w:pStyle w:val="Heading2"/>
        <w:keepNext/>
      </w:pPr>
      <w:r>
        <w:t>Meaningful benchmark (paragraph (k)): Cambridge Associates US PE benchmark (score 8 of 10)</w:t>
      </w:r>
    </w:p>
    <w:p>
      <w:r>
        <w:t>Meaningful benchmark by descriptor. No comparison until its series is held. The candidate is selected on its own descriptors. No number is substituted.</w:t>
      </w:r>
    </w:p>
    <w:p>
      <w:r>
        <w:t>Selection recorded 2026-09-04, record 5b383023. Rubric v3.1. The full record hash is 5b38302348a776c67692d90414e1c29678a70fa971d3c43feda1c256d9c3a01a.</w:t>
      </w:r>
    </w:p>
    <w:p>
      <w:pPr>
        <w:pStyle w:val="ListBullet"/>
      </w:pPr>
      <w:r>
        <w:t>Strategy match 3 of 3: a private-market index of private equity for a evergreen private equity fund</w:t>
      </w:r>
    </w:p>
    <w:p>
      <w:pPr>
        <w:pStyle w:val="ListBullet"/>
      </w:pPr>
      <w:r>
        <w:t>Risk and liquidity match 3 of 3: appraisal-based index without a dealing mechanism of its own against a periodically dealt NAV fund with no proration and no suspension disclosed in the filings on record (quarterly dealing at NAV under 5% cap per quarter): the pricing process and the liquidity process both match</w:t>
      </w:r>
    </w:p>
    <w:p>
      <w:pPr>
        <w:pStyle w:val="ListBullet"/>
      </w:pPr>
      <w:r>
        <w:t>Provider independence 2 of 2: provider unaffiliated with the fund (Cambridge Associates): the registry affiliation map ties it to none of the fund's advisers</w:t>
      </w:r>
    </w:p>
    <w:p>
      <w:pPr>
        <w:pStyle w:val="ListBullet"/>
      </w:pPr>
      <w:r>
        <w:t>Data held 0 of 2: licensed series not held (no subscription): the candidate is cited, not computed</w:t>
      </w:r>
    </w:p>
    <w:p>
      <w:pPr>
        <w:pStyle w:val="Heading2"/>
        <w:keepNext/>
      </w:pPr>
      <w:r>
        <w:t>Reference comparison, not the meaningful benchmark: Listed private equity investable proxy (PSP)</w:t>
      </w:r>
    </w:p>
    <w:p>
      <w:r>
        <w:t>Reference comparison on the highest-ranked held public market series: not the meaningful benchmark.</w:t>
      </w:r>
    </w:p>
    <w:p>
      <w:r>
        <w:t>Window 2022-04-01 to 2026-03-31: fund 13.89%/yr (filed fiscal-year returns) vs the public series 1.72%/yr, KS-PME 1.5712, Direct Alpha 11.97%/yr.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pPr>
        <w:pStyle w:val="Heading2"/>
        <w:keepNext/>
      </w:pPr>
      <w:r>
        <w:t>Declared benchmark and SEC-required comparators (cell 5.1)</w:t>
      </w:r>
    </w:p>
    <w:p>
      <w:r>
        <w:t>SEC-required comparator: MSCI World Index, held, scored 6 of 10, fails the strategy gate (strategy match 1 of 3). The declaration itself earns no points.</w:t>
      </w:r>
    </w:p>
    <w:p>
      <w:r>
        <w:t>Window 2022-04-01 to 2026-03-31: fund 13.89%/yr (filed fiscal-year returns) vs MSCI World Index 10.5%/yr, KS-PME 1.1283, Direct Alpha 3.07%/yr.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r>
        <w:t>Declared benchmark: none. cell 5.1: broad-based comparison index of the shareholder report's required presentation, no benchmark the fund is managed to.</w:t>
      </w:r>
    </w:p>
    <w:p>
      <w:pPr>
        <w:pStyle w:val="Heading2"/>
        <w:keepNext/>
      </w:pPr>
      <w:r>
        <w:t>Peer comparison (paragraphs (g) and (h)): evergreen private equity cohort</w:t>
      </w:r>
    </w:p>
    <w:p>
      <w:r>
        <w:t>Peers: Hamilton Lane Private Assets Fund, StepStone Private Markets, KKR Private Equity Conglomerate LLC, AMG Pantheon Fund, LLC. This is the history of similar investments, not the benchmark, and it is never a public market equivalent.</w:t>
      </w:r>
    </w:p>
    <w:p>
      <w:r>
        <w:t>Window FY2023 to FY2026 (years to 03-31) (4 fiscal-year periods, n=3 peers in every period): fund 13.88%/yr (filed fiscal-year returns) vs the peer composite 11.41%/yr, relative wealth ratio 1.0918, annualized excess return 2.22%/yr. Not a public market equivalent: the peer composite is appraisal-based, constructed by the evaluator and cannot be bought. Disclosure: ratios on appraisal-lagged NAVs are window-sensitive and can be smoothing-flattered.</w:t>
      </w:r>
    </w:p>
    <w:p>
      <w:r>
        <w:t>Alignment: 4 fiscal-year periods with identical start and end dates for every member (2022-03-31 to 2026-03-31), n=3 peers in every period. Member return sources: Hamilton Lane Private Assets Fund: filed fiscal-year returns, StepStone Private Markets: filed fiscal-year returns, AMG Pantheon Fund, LLC: filed fiscal-year returns. Excluded from the composite: KKR Private Equity Conglomerate LLC reports calendar years. Ares Private Markets Fund and the aligned peers report fiscal years to month 03, so it is excluded from the composite and stays in the side-by-side table. 1 of 4 peers excluded.</w:t>
      </w:r>
    </w:p>
    <w:p>
      <w:pPr>
        <w:keepNext/>
      </w:pPr>
      <w:r>
        <w:t>Two-point comparison: one contribution at the window start and one valuation at the end, on identical period boundaries. The ratio is fund growth divided by the comparator's growth over the same periods.</w:t>
      </w:r>
    </w:p>
    <w:tbl>
      <w:tblPr>
        <w:tblStyle w:val="TableGrid"/>
        <w:tblW w:type="dxa" w:w="9360"/>
        <w:tblLayout w:type="fixed"/>
        <w:tblLook w:firstColumn="1" w:firstRow="1" w:lastColumn="0" w:lastRow="0" w:noHBand="0" w:noVBand="1" w:val="04A0"/>
      </w:tblPr>
      <w:tblGrid>
        <w:gridCol w:w="1296"/>
        <w:gridCol w:w="576"/>
        <w:gridCol w:w="1498"/>
        <w:gridCol w:w="1498"/>
        <w:gridCol w:w="1498"/>
        <w:gridCol w:w="1498"/>
        <w:gridCol w:w="1498"/>
      </w:tblGrid>
      <w:tr>
        <w:trPr>
          <w:tblHeader/>
          <w:cantSplit/>
        </w:trPr>
        <w:tc>
          <w:tcPr>
            <w:tcW w:type="dxa" w:w="1296"/>
          </w:tcPr>
          <w:p>
            <w:r>
              <w:t>Period</w:t>
            </w:r>
          </w:p>
        </w:tc>
        <w:tc>
          <w:tcPr>
            <w:tcW w:type="dxa" w:w="576"/>
          </w:tcPr>
          <w:p>
            <w:r>
              <w:t>n</w:t>
            </w:r>
          </w:p>
        </w:tc>
        <w:tc>
          <w:tcPr>
            <w:tcW w:type="dxa" w:w="1498"/>
          </w:tcPr>
          <w:p>
            <w:r>
              <w:t>Ares Private Markets Fund</w:t>
            </w:r>
          </w:p>
        </w:tc>
        <w:tc>
          <w:tcPr>
            <w:tcW w:type="dxa" w:w="1498"/>
          </w:tcPr>
          <w:p>
            <w:r>
              <w:t>Hamilton Lane Private Assets Fund</w:t>
            </w:r>
          </w:p>
        </w:tc>
        <w:tc>
          <w:tcPr>
            <w:tcW w:type="dxa" w:w="1498"/>
          </w:tcPr>
          <w:p>
            <w:r>
              <w:t>StepStone Private Markets</w:t>
            </w:r>
          </w:p>
        </w:tc>
        <w:tc>
          <w:tcPr>
            <w:tcW w:type="dxa" w:w="1498"/>
          </w:tcPr>
          <w:p>
            <w:r>
              <w:t>KKR Private Equity Conglomerate LLC</w:t>
            </w:r>
          </w:p>
        </w:tc>
        <w:tc>
          <w:tcPr>
            <w:tcW w:type="dxa" w:w="1498"/>
          </w:tcPr>
          <w:p>
            <w:r>
              <w:t>AMG Pantheon Fund, LLC</w:t>
            </w:r>
          </w:p>
        </w:tc>
      </w:tr>
      <w:tr>
        <w:trPr>
          <w:cantSplit/>
        </w:trPr>
        <w:tc>
          <w:tcPr>
            <w:tcW w:type="dxa" w:w="1296"/>
          </w:tcPr>
          <w:p>
            <w:r>
              <w:t>FY2017 (year to 2017-03-31)</w:t>
            </w:r>
          </w:p>
        </w:tc>
        <w:tc>
          <w:tcPr>
            <w:tcW w:type="dxa" w:w="576"/>
          </w:tcPr>
          <w:p>
            <w:r>
              <w:t>1</w:t>
            </w:r>
          </w:p>
        </w:tc>
        <w:tc>
          <w:tcPr>
            <w:tcW w:type="dxa" w:w="1498"/>
          </w:tcPr>
          <w:p>
            <w:r>
              <w:t>n/a</w:t>
            </w:r>
          </w:p>
        </w:tc>
        <w:tc>
          <w:tcPr>
            <w:tcW w:type="dxa" w:w="1498"/>
          </w:tcPr>
          <w:p>
            <w:r>
              <w:t>n/a</w:t>
            </w:r>
          </w:p>
        </w:tc>
        <w:tc>
          <w:tcPr>
            <w:tcW w:type="dxa" w:w="1498"/>
          </w:tcPr>
          <w:p>
            <w:r>
              <w:t>n/a</w:t>
            </w:r>
          </w:p>
        </w:tc>
        <w:tc>
          <w:tcPr>
            <w:tcW w:type="dxa" w:w="1498"/>
          </w:tcPr>
          <w:p>
            <w:r>
              <w:t>n/a</w:t>
            </w:r>
          </w:p>
        </w:tc>
        <w:tc>
          <w:tcPr>
            <w:tcW w:type="dxa" w:w="1498"/>
          </w:tcPr>
          <w:p>
            <w:r>
              <w:t>14.27%</w:t>
            </w:r>
          </w:p>
        </w:tc>
      </w:tr>
      <w:tr>
        <w:trPr>
          <w:cantSplit/>
        </w:trPr>
        <w:tc>
          <w:tcPr>
            <w:tcW w:type="dxa" w:w="1296"/>
          </w:tcPr>
          <w:p>
            <w:r>
              <w:t>FY2018 (year to 2018-03-31)</w:t>
            </w:r>
          </w:p>
        </w:tc>
        <w:tc>
          <w:tcPr>
            <w:tcW w:type="dxa" w:w="576"/>
          </w:tcPr>
          <w:p>
            <w:r>
              <w:t>1</w:t>
            </w:r>
          </w:p>
        </w:tc>
        <w:tc>
          <w:tcPr>
            <w:tcW w:type="dxa" w:w="1498"/>
          </w:tcPr>
          <w:p>
            <w:r>
              <w:t>n/a</w:t>
            </w:r>
          </w:p>
        </w:tc>
        <w:tc>
          <w:tcPr>
            <w:tcW w:type="dxa" w:w="1498"/>
          </w:tcPr>
          <w:p>
            <w:r>
              <w:t>n/a</w:t>
            </w:r>
          </w:p>
        </w:tc>
        <w:tc>
          <w:tcPr>
            <w:tcW w:type="dxa" w:w="1498"/>
          </w:tcPr>
          <w:p>
            <w:r>
              <w:t>n/a</w:t>
            </w:r>
          </w:p>
        </w:tc>
        <w:tc>
          <w:tcPr>
            <w:tcW w:type="dxa" w:w="1498"/>
          </w:tcPr>
          <w:p>
            <w:r>
              <w:t>n/a</w:t>
            </w:r>
          </w:p>
        </w:tc>
        <w:tc>
          <w:tcPr>
            <w:tcW w:type="dxa" w:w="1498"/>
          </w:tcPr>
          <w:p>
            <w:r>
              <w:t>14.26%</w:t>
            </w:r>
          </w:p>
        </w:tc>
      </w:tr>
      <w:tr>
        <w:trPr>
          <w:cantSplit/>
        </w:trPr>
        <w:tc>
          <w:tcPr>
            <w:tcW w:type="dxa" w:w="1296"/>
          </w:tcPr>
          <w:p>
            <w:r>
              <w:t>FY2019 (year to 2019-03-31)</w:t>
            </w:r>
          </w:p>
        </w:tc>
        <w:tc>
          <w:tcPr>
            <w:tcW w:type="dxa" w:w="576"/>
          </w:tcPr>
          <w:p>
            <w:r>
              <w:t>1</w:t>
            </w:r>
          </w:p>
        </w:tc>
        <w:tc>
          <w:tcPr>
            <w:tcW w:type="dxa" w:w="1498"/>
          </w:tcPr>
          <w:p>
            <w:r>
              <w:t>n/a</w:t>
            </w:r>
          </w:p>
        </w:tc>
        <w:tc>
          <w:tcPr>
            <w:tcW w:type="dxa" w:w="1498"/>
          </w:tcPr>
          <w:p>
            <w:r>
              <w:t>n/a</w:t>
            </w:r>
          </w:p>
        </w:tc>
        <w:tc>
          <w:tcPr>
            <w:tcW w:type="dxa" w:w="1498"/>
          </w:tcPr>
          <w:p>
            <w:r>
              <w:t>n/a</w:t>
            </w:r>
          </w:p>
        </w:tc>
        <w:tc>
          <w:tcPr>
            <w:tcW w:type="dxa" w:w="1498"/>
          </w:tcPr>
          <w:p>
            <w:r>
              <w:t>n/a</w:t>
            </w:r>
          </w:p>
        </w:tc>
        <w:tc>
          <w:tcPr>
            <w:tcW w:type="dxa" w:w="1498"/>
          </w:tcPr>
          <w:p>
            <w:r>
              <w:t>10.11%</w:t>
            </w:r>
          </w:p>
        </w:tc>
      </w:tr>
      <w:tr>
        <w:trPr>
          <w:cantSplit/>
        </w:trPr>
        <w:tc>
          <w:tcPr>
            <w:tcW w:type="dxa" w:w="1296"/>
          </w:tcPr>
          <w:p>
            <w:r>
              <w:t>FY2020 (year to 2020-03-31)</w:t>
            </w:r>
          </w:p>
        </w:tc>
        <w:tc>
          <w:tcPr>
            <w:tcW w:type="dxa" w:w="576"/>
          </w:tcPr>
          <w:p>
            <w:r>
              <w:t>1</w:t>
            </w:r>
          </w:p>
        </w:tc>
        <w:tc>
          <w:tcPr>
            <w:tcW w:type="dxa" w:w="1498"/>
          </w:tcPr>
          <w:p>
            <w:r>
              <w:t>n/a</w:t>
            </w:r>
          </w:p>
        </w:tc>
        <w:tc>
          <w:tcPr>
            <w:tcW w:type="dxa" w:w="1498"/>
          </w:tcPr>
          <w:p>
            <w:r>
              <w:t>n/a</w:t>
            </w:r>
          </w:p>
        </w:tc>
        <w:tc>
          <w:tcPr>
            <w:tcW w:type="dxa" w:w="1498"/>
          </w:tcPr>
          <w:p>
            <w:r>
              <w:t>n/a</w:t>
            </w:r>
          </w:p>
        </w:tc>
        <w:tc>
          <w:tcPr>
            <w:tcW w:type="dxa" w:w="1498"/>
          </w:tcPr>
          <w:p>
            <w:r>
              <w:t>n/a</w:t>
            </w:r>
          </w:p>
        </w:tc>
        <w:tc>
          <w:tcPr>
            <w:tcW w:type="dxa" w:w="1498"/>
          </w:tcPr>
          <w:p>
            <w:r>
              <w:t>4.15%</w:t>
            </w:r>
          </w:p>
        </w:tc>
      </w:tr>
      <w:tr>
        <w:trPr>
          <w:cantSplit/>
        </w:trPr>
        <w:tc>
          <w:tcPr>
            <w:tcW w:type="dxa" w:w="1296"/>
          </w:tcPr>
          <w:p>
            <w:r>
              <w:t>FY2021 (year to 2021-03-31)</w:t>
            </w:r>
          </w:p>
        </w:tc>
        <w:tc>
          <w:tcPr>
            <w:tcW w:type="dxa" w:w="576"/>
          </w:tcPr>
          <w:p>
            <w:r>
              <w:t>1</w:t>
            </w:r>
          </w:p>
        </w:tc>
        <w:tc>
          <w:tcPr>
            <w:tcW w:type="dxa" w:w="1498"/>
          </w:tcPr>
          <w:p>
            <w:r>
              <w:t>n/a</w:t>
            </w:r>
          </w:p>
        </w:tc>
        <w:tc>
          <w:tcPr>
            <w:tcW w:type="dxa" w:w="1498"/>
          </w:tcPr>
          <w:p>
            <w:r>
              <w:t>n/a</w:t>
            </w:r>
          </w:p>
        </w:tc>
        <w:tc>
          <w:tcPr>
            <w:tcW w:type="dxa" w:w="1498"/>
          </w:tcPr>
          <w:p>
            <w:r>
              <w:t>n/a</w:t>
            </w:r>
          </w:p>
        </w:tc>
        <w:tc>
          <w:tcPr>
            <w:tcW w:type="dxa" w:w="1498"/>
          </w:tcPr>
          <w:p>
            <w:r>
              <w:t>n/a</w:t>
            </w:r>
          </w:p>
        </w:tc>
        <w:tc>
          <w:tcPr>
            <w:tcW w:type="dxa" w:w="1498"/>
          </w:tcPr>
          <w:p>
            <w:r>
              <w:t>35.72%</w:t>
            </w:r>
          </w:p>
        </w:tc>
      </w:tr>
      <w:tr>
        <w:trPr>
          <w:cantSplit/>
        </w:trPr>
        <w:tc>
          <w:tcPr>
            <w:tcW w:type="dxa" w:w="1296"/>
          </w:tcPr>
          <w:p>
            <w:r>
              <w:t>FY2022 (year to 2022-03-31)</w:t>
            </w:r>
          </w:p>
        </w:tc>
        <w:tc>
          <w:tcPr>
            <w:tcW w:type="dxa" w:w="576"/>
          </w:tcPr>
          <w:p>
            <w:r>
              <w:t>3</w:t>
            </w:r>
          </w:p>
        </w:tc>
        <w:tc>
          <w:tcPr>
            <w:tcW w:type="dxa" w:w="1498"/>
          </w:tcPr>
          <w:p>
            <w:r>
              <w:t>n/a</w:t>
            </w:r>
          </w:p>
        </w:tc>
        <w:tc>
          <w:tcPr>
            <w:tcW w:type="dxa" w:w="1498"/>
          </w:tcPr>
          <w:p>
            <w:r>
              <w:t>20.77%</w:t>
            </w:r>
          </w:p>
        </w:tc>
        <w:tc>
          <w:tcPr>
            <w:tcW w:type="dxa" w:w="1498"/>
          </w:tcPr>
          <w:p>
            <w:r>
              <w:t>29.43%</w:t>
            </w:r>
          </w:p>
        </w:tc>
        <w:tc>
          <w:tcPr>
            <w:tcW w:type="dxa" w:w="1498"/>
          </w:tcPr>
          <w:p>
            <w:r>
              <w:t>n/a</w:t>
            </w:r>
          </w:p>
        </w:tc>
        <w:tc>
          <w:tcPr>
            <w:tcW w:type="dxa" w:w="1498"/>
          </w:tcPr>
          <w:p>
            <w:r>
              <w:t>18.36%</w:t>
            </w:r>
          </w:p>
        </w:tc>
      </w:tr>
      <w:tr>
        <w:trPr>
          <w:cantSplit/>
        </w:trPr>
        <w:tc>
          <w:tcPr>
            <w:tcW w:type="dxa" w:w="1296"/>
          </w:tcPr>
          <w:p>
            <w:r>
              <w:t>FY2023 (year to 2023-03-31)</w:t>
            </w:r>
          </w:p>
        </w:tc>
        <w:tc>
          <w:tcPr>
            <w:tcW w:type="dxa" w:w="576"/>
          </w:tcPr>
          <w:p>
            <w:r>
              <w:t>4</w:t>
            </w:r>
          </w:p>
        </w:tc>
        <w:tc>
          <w:tcPr>
            <w:tcW w:type="dxa" w:w="1498"/>
          </w:tcPr>
          <w:p>
            <w:r>
              <w:t>9.27%</w:t>
            </w:r>
          </w:p>
        </w:tc>
        <w:tc>
          <w:tcPr>
            <w:tcW w:type="dxa" w:w="1498"/>
          </w:tcPr>
          <w:p>
            <w:r>
              <w:t>16.1%</w:t>
            </w:r>
          </w:p>
        </w:tc>
        <w:tc>
          <w:tcPr>
            <w:tcW w:type="dxa" w:w="1498"/>
          </w:tcPr>
          <w:p>
            <w:r>
              <w:t>8.23%</w:t>
            </w:r>
          </w:p>
        </w:tc>
        <w:tc>
          <w:tcPr>
            <w:tcW w:type="dxa" w:w="1498"/>
          </w:tcPr>
          <w:p>
            <w:r>
              <w:t>n/a</w:t>
            </w:r>
          </w:p>
        </w:tc>
        <w:tc>
          <w:tcPr>
            <w:tcW w:type="dxa" w:w="1498"/>
          </w:tcPr>
          <w:p>
            <w:r>
              <w:t>6.45%</w:t>
            </w:r>
          </w:p>
        </w:tc>
      </w:tr>
      <w:tr>
        <w:trPr>
          <w:cantSplit/>
        </w:trPr>
        <w:tc>
          <w:tcPr>
            <w:tcW w:type="dxa" w:w="1296"/>
          </w:tcPr>
          <w:p>
            <w:r>
              <w:t>FY2024 (year to 2024-03-31)</w:t>
            </w:r>
          </w:p>
        </w:tc>
        <w:tc>
          <w:tcPr>
            <w:tcW w:type="dxa" w:w="576"/>
          </w:tcPr>
          <w:p>
            <w:r>
              <w:t>4</w:t>
            </w:r>
          </w:p>
        </w:tc>
        <w:tc>
          <w:tcPr>
            <w:tcW w:type="dxa" w:w="1498"/>
          </w:tcPr>
          <w:p>
            <w:r>
              <w:t>17.1%</w:t>
            </w:r>
          </w:p>
        </w:tc>
        <w:tc>
          <w:tcPr>
            <w:tcW w:type="dxa" w:w="1498"/>
          </w:tcPr>
          <w:p>
            <w:r>
              <w:t>12.68%</w:t>
            </w:r>
          </w:p>
        </w:tc>
        <w:tc>
          <w:tcPr>
            <w:tcW w:type="dxa" w:w="1498"/>
          </w:tcPr>
          <w:p>
            <w:r>
              <w:t>13.79%</w:t>
            </w:r>
          </w:p>
        </w:tc>
        <w:tc>
          <w:tcPr>
            <w:tcW w:type="dxa" w:w="1498"/>
          </w:tcPr>
          <w:p>
            <w:r>
              <w:t>n/a</w:t>
            </w:r>
          </w:p>
        </w:tc>
        <w:tc>
          <w:tcPr>
            <w:tcW w:type="dxa" w:w="1498"/>
          </w:tcPr>
          <w:p>
            <w:r>
              <w:t>12.08%</w:t>
            </w:r>
          </w:p>
        </w:tc>
      </w:tr>
      <w:tr>
        <w:trPr>
          <w:cantSplit/>
        </w:trPr>
        <w:tc>
          <w:tcPr>
            <w:tcW w:type="dxa" w:w="1296"/>
          </w:tcPr>
          <w:p>
            <w:r>
              <w:t>2024</w:t>
            </w:r>
          </w:p>
        </w:tc>
        <w:tc>
          <w:tcPr>
            <w:tcW w:type="dxa" w:w="576"/>
          </w:tcPr>
          <w:p>
            <w:r>
              <w:t>1</w:t>
            </w:r>
          </w:p>
        </w:tc>
        <w:tc>
          <w:tcPr>
            <w:tcW w:type="dxa" w:w="1498"/>
          </w:tcPr>
          <w:p>
            <w:r>
              <w:t>n/a</w:t>
            </w:r>
          </w:p>
        </w:tc>
        <w:tc>
          <w:tcPr>
            <w:tcW w:type="dxa" w:w="1498"/>
          </w:tcPr>
          <w:p>
            <w:r>
              <w:t>n/a</w:t>
            </w:r>
          </w:p>
        </w:tc>
        <w:tc>
          <w:tcPr>
            <w:tcW w:type="dxa" w:w="1498"/>
          </w:tcPr>
          <w:p>
            <w:r>
              <w:t>n/a</w:t>
            </w:r>
          </w:p>
        </w:tc>
        <w:tc>
          <w:tcPr>
            <w:tcW w:type="dxa" w:w="1498"/>
          </w:tcPr>
          <w:p>
            <w:r>
              <w:t>11.82%</w:t>
            </w:r>
          </w:p>
        </w:tc>
        <w:tc>
          <w:tcPr>
            <w:tcW w:type="dxa" w:w="1498"/>
          </w:tcPr>
          <w:p>
            <w:r>
              <w:t>n/a</w:t>
            </w:r>
          </w:p>
        </w:tc>
      </w:tr>
      <w:tr>
        <w:trPr>
          <w:cantSplit/>
        </w:trPr>
        <w:tc>
          <w:tcPr>
            <w:tcW w:type="dxa" w:w="1296"/>
          </w:tcPr>
          <w:p>
            <w:r>
              <w:t>FY2025 (year to 2025-03-31)</w:t>
            </w:r>
          </w:p>
        </w:tc>
        <w:tc>
          <w:tcPr>
            <w:tcW w:type="dxa" w:w="576"/>
          </w:tcPr>
          <w:p>
            <w:r>
              <w:t>4</w:t>
            </w:r>
          </w:p>
        </w:tc>
        <w:tc>
          <w:tcPr>
            <w:tcW w:type="dxa" w:w="1498"/>
          </w:tcPr>
          <w:p>
            <w:r>
              <w:t>19.95%</w:t>
            </w:r>
          </w:p>
        </w:tc>
        <w:tc>
          <w:tcPr>
            <w:tcW w:type="dxa" w:w="1498"/>
          </w:tcPr>
          <w:p>
            <w:r>
              <w:t>12.59%</w:t>
            </w:r>
          </w:p>
        </w:tc>
        <w:tc>
          <w:tcPr>
            <w:tcW w:type="dxa" w:w="1498"/>
          </w:tcPr>
          <w:p>
            <w:r>
              <w:t>10.76%</w:t>
            </w:r>
          </w:p>
        </w:tc>
        <w:tc>
          <w:tcPr>
            <w:tcW w:type="dxa" w:w="1498"/>
          </w:tcPr>
          <w:p>
            <w:r>
              <w:t>n/a</w:t>
            </w:r>
          </w:p>
        </w:tc>
        <w:tc>
          <w:tcPr>
            <w:tcW w:type="dxa" w:w="1498"/>
          </w:tcPr>
          <w:p>
            <w:r>
              <w:t>10.07%</w:t>
            </w:r>
          </w:p>
        </w:tc>
      </w:tr>
      <w:tr>
        <w:trPr>
          <w:cantSplit/>
        </w:trPr>
        <w:tc>
          <w:tcPr>
            <w:tcW w:type="dxa" w:w="1296"/>
          </w:tcPr>
          <w:p>
            <w:r>
              <w:t>2025</w:t>
            </w:r>
          </w:p>
        </w:tc>
        <w:tc>
          <w:tcPr>
            <w:tcW w:type="dxa" w:w="576"/>
          </w:tcPr>
          <w:p>
            <w:r>
              <w:t>1</w:t>
            </w:r>
          </w:p>
        </w:tc>
        <w:tc>
          <w:tcPr>
            <w:tcW w:type="dxa" w:w="1498"/>
          </w:tcPr>
          <w:p>
            <w:r>
              <w:t>n/a</w:t>
            </w:r>
          </w:p>
        </w:tc>
        <w:tc>
          <w:tcPr>
            <w:tcW w:type="dxa" w:w="1498"/>
          </w:tcPr>
          <w:p>
            <w:r>
              <w:t>n/a</w:t>
            </w:r>
          </w:p>
        </w:tc>
        <w:tc>
          <w:tcPr>
            <w:tcW w:type="dxa" w:w="1498"/>
          </w:tcPr>
          <w:p>
            <w:r>
              <w:t>n/a</w:t>
            </w:r>
          </w:p>
        </w:tc>
        <w:tc>
          <w:tcPr>
            <w:tcW w:type="dxa" w:w="1498"/>
          </w:tcPr>
          <w:p>
            <w:r>
              <w:t>16.14%</w:t>
            </w:r>
          </w:p>
        </w:tc>
        <w:tc>
          <w:tcPr>
            <w:tcW w:type="dxa" w:w="1498"/>
          </w:tcPr>
          <w:p>
            <w:r>
              <w:t>n/a</w:t>
            </w:r>
          </w:p>
        </w:tc>
      </w:tr>
      <w:tr>
        <w:trPr>
          <w:cantSplit/>
        </w:trPr>
        <w:tc>
          <w:tcPr>
            <w:tcW w:type="dxa" w:w="1296"/>
          </w:tcPr>
          <w:p>
            <w:r>
              <w:t>FY2026 (year to 2026-03-31)</w:t>
            </w:r>
          </w:p>
        </w:tc>
        <w:tc>
          <w:tcPr>
            <w:tcW w:type="dxa" w:w="576"/>
          </w:tcPr>
          <w:p>
            <w:r>
              <w:t>4</w:t>
            </w:r>
          </w:p>
        </w:tc>
        <w:tc>
          <w:tcPr>
            <w:tcW w:type="dxa" w:w="1498"/>
          </w:tcPr>
          <w:p>
            <w:r>
              <w:t>9.58%</w:t>
            </w:r>
          </w:p>
        </w:tc>
        <w:tc>
          <w:tcPr>
            <w:tcW w:type="dxa" w:w="1498"/>
          </w:tcPr>
          <w:p>
            <w:r>
              <w:t>14.6%</w:t>
            </w:r>
          </w:p>
        </w:tc>
        <w:tc>
          <w:tcPr>
            <w:tcW w:type="dxa" w:w="1498"/>
          </w:tcPr>
          <w:p>
            <w:r>
              <w:t>10.47%</w:t>
            </w:r>
          </w:p>
        </w:tc>
        <w:tc>
          <w:tcPr>
            <w:tcW w:type="dxa" w:w="1498"/>
          </w:tcPr>
          <w:p>
            <w:r>
              <w:t>n/a</w:t>
            </w:r>
          </w:p>
        </w:tc>
        <w:tc>
          <w:tcPr>
            <w:tcW w:type="dxa" w:w="1498"/>
          </w:tcPr>
          <w:p>
            <w:r>
              <w:t>9.1%</w:t>
            </w:r>
          </w:p>
        </w:tc>
      </w:tr>
    </w:tbl>
    <w:p>
      <w:r>
        <w:t>The cohort is the roster's 5 surviving, still-filing products. Funds that closed, merged, or stopped filing are not in it, so any composite carries survivorship bias in the fund's favor. Membership rationales and exclusions are in the roster record.</w:t>
      </w:r>
    </w:p>
    <w:p>
      <w:r>
        <w:t>Members span 2 wrapper types (non-traded LLC ('34 Act), tender-offer fund) and 2 leverage regimes (1940-Act asset-coverage limits, no 1940-Act leverage limits (34-Act conglomerate)). Fee bases, leverage and exit rights are not like-for-like, so the comparison is a history of similar investments, not a like-for-like index.</w:t>
      </w:r>
    </w:p>
    <w:p>
      <w:pPr>
        <w:pStyle w:val="Heading2"/>
        <w:keepNext/>
      </w:pPr>
      <w:r>
        <w:t>Rejection log (candidates considered and not selected)</w:t>
      </w:r>
    </w:p>
    <w:tbl>
      <w:tblPr>
        <w:tblStyle w:val="TableGrid"/>
        <w:tblW w:type="dxa" w:w="9360"/>
        <w:tblLayout w:type="fixed"/>
        <w:tblLook w:firstColumn="1" w:firstRow="1" w:lastColumn="0" w:lastRow="0" w:noHBand="0" w:noVBand="1" w:val="04A0"/>
      </w:tblPr>
      <w:tblGrid>
        <w:gridCol w:w="2880"/>
        <w:gridCol w:w="1008"/>
        <w:gridCol w:w="5472"/>
      </w:tblGrid>
      <w:tr>
        <w:trPr>
          <w:tblHeader/>
          <w:cantSplit/>
        </w:trPr>
        <w:tc>
          <w:tcPr>
            <w:tcW w:type="dxa" w:w="2880"/>
          </w:tcPr>
          <w:p>
            <w:r>
              <w:t>Candidate</w:t>
            </w:r>
          </w:p>
        </w:tc>
        <w:tc>
          <w:tcPr>
            <w:tcW w:type="dxa" w:w="1008"/>
          </w:tcPr>
          <w:p>
            <w:r>
              <w:t>Score</w:t>
            </w:r>
          </w:p>
        </w:tc>
        <w:tc>
          <w:tcPr>
            <w:tcW w:type="dxa" w:w="5472"/>
          </w:tcPr>
          <w:p>
            <w:r>
              <w:t>Reason and criteria</w:t>
            </w:r>
          </w:p>
        </w:tc>
      </w:tr>
      <w:tr>
        <w:trPr>
          <w:cantSplit/>
        </w:trPr>
        <w:tc>
          <w:tcPr>
            <w:tcW w:type="dxa" w:w="2880"/>
          </w:tcPr>
          <w:p>
            <w:r>
              <w:t>Listed private equity investable proxy (PSP)</w:t>
            </w:r>
          </w:p>
        </w:tc>
        <w:tc>
          <w:tcPr>
            <w:tcW w:type="dxa" w:w="1008"/>
          </w:tcPr>
          <w:p>
            <w:r>
              <w:t>7 of 10</w:t>
            </w:r>
          </w:p>
        </w:tc>
        <w:tc>
          <w:tcPr>
            <w:tcW w:type="dxa" w:w="5472"/>
          </w:tcPr>
          <w:p>
            <w:r>
              <w:t>ranked below the selected candidate: 7 of 10 vs 8 of 10 for Cambridge PE benchmark. Criteria: Strategy match 2 of 3: the public-market version of the asset class (listed private equity for evergreen private equity),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(Invesco / Red Rocks): the registry affiliation map ties it to none of the fund's advisers, Data held 2 of 2: daily public market series held (exchange-traded proxy, Yahoo adjusted close).</w:t>
            </w:r>
          </w:p>
        </w:tc>
      </w:tr>
      <w:tr>
        <w:trPr>
          <w:cantSplit/>
        </w:trPr>
        <w:tc>
          <w:tcPr>
            <w:tcW w:type="dxa" w:w="2880"/>
          </w:tcPr>
          <w:p>
            <w:r>
              <w:t>MSCI World investable proxy (URTH)</w:t>
            </w:r>
          </w:p>
        </w:tc>
        <w:tc>
          <w:tcPr>
            <w:tcW w:type="dxa" w:w="1008"/>
          </w:tcPr>
          <w:p>
            <w:r>
              <w:t>6 of 10</w:t>
            </w:r>
          </w:p>
        </w:tc>
        <w:tc>
          <w:tcPr>
            <w:tcW w:type="dxa" w:w="5472"/>
          </w:tcPr>
          <w:p>
            <w:r>
              <w:t>rejected: strategy gate (score 6 of 10 but strategy match 1 of 3). Criteria: Strategy match 1 of 3: adjacent asset class sharing the dominant risk (global equity for evergreen private equity),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(iShares / MSCI): the registry affiliation map ties it to none of the fund's advisers, Data held 2 of 2: daily public market series held (exchange-traded proxy, Yahoo adjusted close).</w:t>
            </w:r>
          </w:p>
        </w:tc>
      </w:tr>
    </w:tbl>
    <w:p>
      <w:pPr>
        <w:pStyle w:val="Heading1"/>
        <w:keepNext/>
      </w:pPr>
      <w:r>
        <w:t>Product-to-plan liquidity match</w:t>
      </w:r>
    </w:p>
    <w:p>
      <w:r>
        <w:t>Plan: US industrial manufacturer 401(k) plan (~$0.8B, OH). The structural verdict reads the dealing terms on record (cells 3.1, 3.3, 2.7, plan-independent). The scenario verdict is ILLUSTRATIVE (the plan's filed outflow proxy as the base demand and the turnover assumptions as the stress, against the same capacity, per plan).</w:t>
      </w:r>
    </w:p>
    <w:p>
      <w:pPr>
        <w:pStyle w:val="Heading2"/>
        <w:keepNext/>
      </w:pPr>
      <w:r>
        <w:t>Structural verdict (dealing terms on record, plan-independent)</w:t>
      </w:r>
    </w:p>
    <w:p>
      <w:r>
        <w:t>PARTIAL</w:t>
      </w:r>
    </w:p>
    <w:p>
      <w:pPr>
        <w:pStyle w:val="ListBullet"/>
      </w:pPr>
      <w:r>
        <w:t>STRUCTURAL GAP: a participant-directed 404(c) menu assumes daily pricing and daily participant liquidity, whereas this wrapper deals quarterly with a 5% cap per quarter on net assets. Direct DIA use requires a bridging structure: CIT sleeve, managed account, or TDF sleeve (cell 3.5).</w:t>
      </w:r>
    </w:p>
    <w:p>
      <w:pPr>
        <w:pStyle w:val="ListBullet"/>
      </w:pPr>
      <w:r>
        <w:t>Facts missing for a structural verdict: gating history (tendered-versus-accepted amounts and proration incidence per offer are not printed (final tender amendments not on disk). Four offers in each of FY2025 and FY2026 establish continuity, not full fills (the completed-tender rule)). The verdict stays partial until they are read from the filings.</w:t>
      </w:r>
    </w:p>
    <w:p>
      <w:pPr>
        <w:pStyle w:val="ListBullet"/>
        <w:keepNext/>
      </w:pPr>
      <w:r>
        <w:t>Early repurchase economics: 2% if held &lt; 1 year (2.7). Relevant to participant-level churn (2.7).</w:t>
      </w:r>
    </w:p>
    <w:tbl>
      <w:tblPr>
        <w:tblStyle w:val="TableGrid"/>
        <w:tblW w:type="dxa" w:w="9360"/>
        <w:tblLayout w:type="fixed"/>
        <w:tblLook w:firstColumn="1" w:firstRow="1" w:lastColumn="0" w:lastRow="0" w:noHBand="0" w:noVBand="1" w:val="04A0"/>
      </w:tblPr>
      <w:tblGrid>
        <w:gridCol w:w="2448"/>
        <w:gridCol w:w="5760"/>
        <w:gridCol w:w="1152"/>
      </w:tblGrid>
      <w:tr>
        <w:trPr>
          <w:tblHeader/>
          <w:cantSplit/>
        </w:trPr>
        <w:tc>
          <w:tcPr>
            <w:tcW w:type="dxa" w:w="2448"/>
          </w:tcPr>
          <w:p>
            <w:r>
              <w:t>Wrapper fact</w:t>
            </w:r>
          </w:p>
        </w:tc>
        <w:tc>
          <w:tcPr>
            <w:tcW w:type="dxa" w:w="5760"/>
          </w:tcPr>
          <w:p>
            <w:r>
              <w:t>Value</w:t>
            </w:r>
          </w:p>
        </w:tc>
        <w:tc>
          <w:tcPr>
            <w:tcW w:type="dxa" w:w="1152"/>
          </w:tcPr>
          <w:p>
            <w:r>
              <w:t>Cell</w:t>
            </w:r>
          </w:p>
        </w:tc>
      </w:tr>
      <w:tr>
        <w:trPr>
          <w:cantSplit/>
        </w:trPr>
        <w:tc>
          <w:tcPr>
            <w:tcW w:type="dxa" w:w="2448"/>
          </w:tcPr>
          <w:p>
            <w:r>
              <w:t>Wrapper</w:t>
            </w:r>
          </w:p>
        </w:tc>
        <w:tc>
          <w:tcPr>
            <w:tcW w:type="dxa" w:w="5760"/>
          </w:tcPr>
          <w:p>
            <w:r>
              <w:t>tender-offer fund</w:t>
            </w:r>
          </w:p>
        </w:tc>
        <w:tc>
          <w:tcPr>
            <w:tcW w:type="dxa" w:w="1152"/>
          </w:tcPr>
          <w:p>
            <w:r>
              <w:t>6.1</w:t>
            </w:r>
          </w:p>
        </w:tc>
      </w:tr>
      <w:tr>
        <w:trPr>
          <w:cantSplit/>
        </w:trPr>
        <w:tc>
          <w:tcPr>
            <w:tcW w:type="dxa" w:w="2448"/>
          </w:tcPr>
          <w:p>
            <w:r>
              <w:t>Dealing terms</w:t>
            </w:r>
          </w:p>
        </w:tc>
        <w:tc>
          <w:tcPr>
            <w:tcW w:type="dxa" w:w="5760"/>
          </w:tcPr>
          <w:p>
            <w:r>
              <w:t>quarterly offers, 5% cap per quarter on net assets</w:t>
            </w:r>
          </w:p>
        </w:tc>
        <w:tc>
          <w:tcPr>
            <w:tcW w:type="dxa" w:w="1152"/>
          </w:tcPr>
          <w:p>
            <w:r>
              <w:t>3.1</w:t>
            </w:r>
          </w:p>
        </w:tc>
      </w:tr>
      <w:tr>
        <w:trPr>
          <w:cantSplit/>
        </w:trPr>
        <w:tc>
          <w:tcPr>
            <w:tcW w:type="dxa" w:w="2448"/>
          </w:tcPr>
          <w:p>
            <w:r>
              <w:t>Repurchase caps</w:t>
            </w:r>
          </w:p>
        </w:tc>
        <w:tc>
          <w:tcPr>
            <w:tcW w:type="dxa" w:w="5760"/>
          </w:tcPr>
          <w:p>
            <w:r>
              <w:t>5% per quarter, 20% per year</w:t>
            </w:r>
          </w:p>
        </w:tc>
        <w:tc>
          <w:tcPr>
            <w:tcW w:type="dxa" w:w="1152"/>
          </w:tcPr>
          <w:p>
            <w:r>
              <w:t>3.1</w:t>
            </w:r>
          </w:p>
        </w:tc>
      </w:tr>
      <w:tr>
        <w:trPr>
          <w:cantSplit/>
        </w:trPr>
        <w:tc>
          <w:tcPr>
            <w:tcW w:type="dxa" w:w="2448"/>
          </w:tcPr>
          <w:p>
            <w:r>
              <w:t>Annual capacity (binding cap)</w:t>
            </w:r>
          </w:p>
        </w:tc>
        <w:tc>
          <w:tcPr>
            <w:tcW w:type="dxa" w:w="5760"/>
          </w:tcPr>
          <w:p>
            <w:r>
              <w:t>20% of the position per year</w:t>
            </w:r>
          </w:p>
        </w:tc>
        <w:tc>
          <w:tcPr>
            <w:tcW w:type="dxa" w:w="1152"/>
          </w:tcPr>
          <w:p>
            <w:r>
              <w:t>3.1</w:t>
            </w:r>
          </w:p>
        </w:tc>
      </w:tr>
      <w:tr>
        <w:trPr>
          <w:cantSplit/>
        </w:trPr>
        <w:tc>
          <w:tcPr>
            <w:tcW w:type="dxa" w:w="2448"/>
          </w:tcPr>
          <w:p>
            <w:r>
              <w:t>Gating history</w:t>
            </w:r>
          </w:p>
        </w:tc>
        <w:tc>
          <w:tcPr>
            <w:tcW w:type="dxa" w:w="5760"/>
          </w:tcPr>
          <w:p>
            <w:r>
              <w:t>not on record: tendered-versus-accepted amounts and proration incidence per offer are not printed (final tender amendments not on disk). Four offers in each of FY2025 and FY2026 establish continuity, not full fills (the completed-tender rule)</w:t>
            </w:r>
          </w:p>
        </w:tc>
        <w:tc>
          <w:tcPr>
            <w:tcW w:type="dxa" w:w="1152"/>
          </w:tcPr>
          <w:p>
            <w:r>
              <w:t>3.3</w:t>
            </w:r>
          </w:p>
        </w:tc>
      </w:tr>
      <w:tr>
        <w:trPr>
          <w:cantSplit/>
        </w:trPr>
        <w:tc>
          <w:tcPr>
            <w:tcW w:type="dxa" w:w="2448"/>
          </w:tcPr>
          <w:p>
            <w:r>
              <w:t>Repurchase program status</w:t>
            </w:r>
          </w:p>
        </w:tc>
        <w:tc>
          <w:tcPr>
            <w:tcW w:type="dxa" w:w="5760"/>
          </w:tcPr>
          <w:p>
            <w:r>
              <w:t>active as of 2026-03-31</w:t>
            </w:r>
          </w:p>
        </w:tc>
        <w:tc>
          <w:tcPr>
            <w:tcW w:type="dxa" w:w="1152"/>
          </w:tcPr>
          <w:p>
            <w:r>
              <w:t>3.1</w:t>
            </w:r>
          </w:p>
        </w:tc>
      </w:tr>
      <w:tr>
        <w:trPr>
          <w:cantSplit/>
        </w:trPr>
        <w:tc>
          <w:tcPr>
            <w:tcW w:type="dxa" w:w="2448"/>
          </w:tcPr>
          <w:p>
            <w:r>
              <w:t>Early repurchase fee</w:t>
            </w:r>
          </w:p>
        </w:tc>
        <w:tc>
          <w:tcPr>
            <w:tcW w:type="dxa" w:w="5760"/>
          </w:tcPr>
          <w:p>
            <w:r>
              <w:t>2% if held &lt; 1 year (2.7)</w:t>
            </w:r>
          </w:p>
        </w:tc>
        <w:tc>
          <w:tcPr>
            <w:tcW w:type="dxa" w:w="1152"/>
          </w:tcPr>
          <w:p>
            <w:r>
              <w:t>2.7</w:t>
            </w:r>
          </w:p>
        </w:tc>
      </w:tr>
      <w:tr>
        <w:trPr>
          <w:cantSplit/>
        </w:trPr>
        <w:tc>
          <w:tcPr>
            <w:tcW w:type="dxa" w:w="2448"/>
          </w:tcPr>
          <w:p>
            <w:r>
              <w:t>Fund net assets (for the dollar capacity)</w:t>
            </w:r>
          </w:p>
        </w:tc>
        <w:tc>
          <w:tcPr>
            <w:tcW w:type="dxa" w:w="5760"/>
          </w:tcPr>
          <w:p>
            <w:r>
              <w:t>not on record: aggregate net assets not yet carried into a fact on record. Verification-queue item</w:t>
            </w:r>
          </w:p>
        </w:tc>
        <w:tc>
          <w:tcPr>
            <w:tcW w:type="dxa" w:w="1152"/>
          </w:tcPr>
          <w:p>
            <w:r>
              <w:t>3.6</w:t>
            </w:r>
          </w:p>
        </w:tc>
      </w:tr>
    </w:tbl>
    <w:p>
      <w:pPr>
        <w:pStyle w:val="Heading2"/>
        <w:keepNext/>
      </w:pPr>
      <w:r>
        <w:t>Scenario (ILLUSTRATIVE, this plan)</w:t>
      </w:r>
    </w:p>
    <w:p>
      <w:r>
        <w:t>Plan inputs (Form 5500): net assets $791.7M, liquidity tail 14.9% of accounts (1,136 separated participants with balances), filed outflow proxy 11.5%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$39.6M): $4.6M/yr = 11.5% of the position per year vs annual wrapper capacity 20%.</w:t>
      </w:r>
    </w:p>
    <w:p>
      <w:r>
        <w:t>Slider assumption (adjustable on the Liquidity view, not a fact): tail turnover 20%/yr, active turnover 5%/yr, 7.2% of the position per year = $2.9M/yr, shown beside the filed rate, not blended with it.</w:t>
      </w:r>
    </w:p>
    <w:p>
      <w:r>
        <w:t>Stressed (the filed outflow proxy plus the increment the stress multiples add under stress (tail turnover x2, active turnover x1.5 over the slider assumption)): demand $6.6M/yr = 16.6% of the position. within wrapper capacity (16.6% vs 20%) IF offers are not prorated.</w:t>
      </w:r>
    </w:p>
    <w:p>
      <w:r>
        <w:t>Fund capacity in dollars: not computable, the fund's net assets are not on record (aggregate net assets not yet carried into a fact on record. Verification-queue item), so the plan's dollar demand cannot be set against the fund's dollar capacity and the allocation slider is not shown.</w:t>
      </w:r>
    </w:p>
    <w:p>
      <w:r>
        <w:t>Scenario verdict (ILLUSTRATIVE, this plan): CONDITIONAL.</w:t>
      </w:r>
    </w:p>
    <w:p>
      <w:pPr>
        <w:pStyle w:val="ListBullet"/>
      </w:pPr>
      <w:r>
        <w:t>Capacity: 5% per quarter on net assets: at most 20% of the position per year. This is a FUND-level cap shared by every holder, so the plan's position is served only while offers are not oversubscribed.</w:t>
      </w:r>
    </w:p>
    <w:p>
      <w:pPr>
        <w:pStyle w:val="ListBullet"/>
      </w:pPr>
      <w:r>
        <w:t>Filed outflow proxy (Schedule H, plan year 2024-01-01 to 2024-12-31): 11.5%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7.2% of the position per year vs 20% annual wrapper capacity, from tail turnover 20%/yr on the 14.9% of accounts that are separated and active turnover 5%/yr on the rest. Shown beside the filed rate, not blended with it. Within 60% of wrapper capacity at these turnover assumptions.</w:t>
      </w:r>
    </w:p>
    <w:p>
      <w:pPr>
        <w:pStyle w:val="ListBullet"/>
      </w:pPr>
      <w:r>
        <w:t>Scenario verdict (ILLUSTRATIVE, this plan): conditional. No rung fired: the filed outflow proxy 11.5% and the stressed demand 16.6% of the position per year both stay within the annual wrapper capacity 20% (binding cap 5% per quarter on net assets (3.1), quarterly offers (3.1), program active as of 2026-03-31 (3.1), gating history not on record (3.3)). Per quarter: filed 2.9% and stressed 4.2% of the position against the 5% cap.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assumptions are the stress around it.</w:t>
      </w:r>
    </w:p>
    <w:p>
      <w:r>
        <w:t>Cited: cell 2.7, cell 3.1, cell 3.3, cell 3.7, the plan record on file (Form 5500, plan year 2024-01-01 to 2024-12-31).</w:t>
      </w:r>
    </w:p>
    <w:p>
      <w:pPr>
        <w:pStyle w:val="Heading1"/>
        <w:keepNext/>
      </w:pPr>
      <w:r>
        <w:t>Peer cohort placement</w:t>
      </w:r>
    </w:p>
    <w:p>
      <w:r>
        <w:t>Evidence depth tier: COHORT. Cohort: Evergreen private equity ('40-Act funds + '34-Act conglomerate) (n=5). Membership rationale: Secondaries-led evergreen PE tender-offer fund, wrapper and strategy twin of Hamilton Lane Private Assets Fund and StepStone Private Markets.</w:t>
      </w:r>
    </w:p>
    <w:p>
      <w:r>
        <w:t>Cohort placement (evergreen private equity cohort): mgmt fee: 50th percentile of cohort (n=5), at the median of 1.4 | expense ratio (bases differ, see notes): 90th percentile of cohort (n=5), above the median of 3.19 | repurchase cap: 50th percentile of cohort (n=5), at the median of 5. Statistics and per-member values are in the cohort record, membership rationales in the facts on record.</w:t>
      </w:r>
    </w:p>
    <w:p>
      <w:pPr>
        <w:pStyle w:val="ListBullet"/>
      </w:pPr>
      <w:r>
        <w:t>Caveat: LEVERAGE-REGIME MIX: BDC 150% coverage and non-1940-Act wrappers allow materially more leverage than 1940-Act funds. Fee bases and return volatility are not like-for-like. [per product from the record: AMG Pantheon Fund, LLC: 1940-Act asset-coverage limits, Ares Private Markets Fund: 1940-Act asset-coverage limits, Hamilton Lane Private Assets Fund: 1940-Act asset-coverage limits, KKR Private Equity Conglomerate LLC: no 1940-Act leverage limits (34-Act conglomerate), StepStone Private Markets: 1940-Act asset-coverage limits]</w:t>
      </w:r>
    </w:p>
    <w:p>
      <w:pPr>
        <w:pStyle w:val="ListBullet"/>
      </w:pPr>
      <w:r>
        <w:t>Caveat: LIQUIDITY-LAW MIX: Rule 23c-3 obligations, discretionary tenders, and repurchase plans give different worst-case exit rights. Cadence numbers alone overstate comparability. [by wrapper type: AMG Pantheon Fund, LLC: board-DISCRETIONARY tender offers (nothing compels the next one), Ares Private Markets Fund: board-DISCRETIONARY tender offers (nothing compels the next one), Hamilton Lane Private Assets Fund: board-DISCRETIONARY tender offers (nothing compels the next one), KKR Private Equity Conglomerate LLC: board-discretionary share repurchases, StepStone Private Markets: board-DISCRETIONARY tender offers (nothing compels the next one)]</w:t>
      </w:r>
    </w:p>
    <w:p>
      <w:pPr>
        <w:pStyle w:val="ListBullet"/>
      </w:pPr>
      <w:r>
        <w:t>Caveat: KKR Private Equity Conglomerate LLC joins under the authorized fallback: its structural twins are Reg D vehicles with no public filings (the roster decisions record, 'The KKR Private Equity Conglomerate LLC ruling'). Cross-wrapper caveats apply.</w:t>
      </w:r>
    </w:p>
    <w:p>
      <w:r>
        <w:t>Cohort exclusion log: every candidate considered and not admitted is recorded with its reason in the roster decisions record (shown on the Cohorts view). Membership is an argued judgment, not a tag.</w:t>
      </w:r>
    </w:p>
    <w:p>
      <w:pPr>
        <w:pStyle w:val="Heading1"/>
        <w:keepNext/>
      </w:pPr>
      <w:r>
        <w:t>Advisor-stated inputs (this plan)</w:t>
      </w:r>
    </w:p>
    <w:p>
      <w:r>
        <w:t>An advisor-stated cell is the adopting fiduciary's own input for its plan, signed and dated. It is not evidence, it is never extracted or verified, and the product record's cell stays as it is.</w:t>
      </w:r>
    </w:p>
    <w:p>
      <w:r>
        <w:t>None stated for US industrial manufacturer 401(k) plan (~$0.8B, OH). The six committee cells (6.6 Plan operational fit, 6.8 Fiduciary capacity self-assessment, 3.7 Plan participant liquidity demand, 2.8 CIT fee schedule, 3.5 TDF/CIT liquidity sleeve, 4.9 CIT unit valuation) remain open.</w:t>
      </w:r>
    </w:p>
    <w:p>
      <w:pPr>
        <w:pStyle w:val="Heading1"/>
        <w:keepNext/>
      </w:pPr>
      <w:r>
        <w:t>Scope and case law</w:t>
      </w:r>
    </w:p>
    <w:p>
      <w:pPr>
        <w:pStyle w:val="Heading2"/>
        <w:keepNext/>
      </w:pPr>
      <w:r>
        <w:t>Scope</w:t>
      </w:r>
    </w:p>
    <w:p>
      <w:r>
        <w:t>This record covers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figure read from a cited cell, or a computation from cited series. Every scenario figure is labeled ILLUSTRATIVE. Cells marked extracted-unverified were extracted by an agent and not yet verified by a person. Verbatim regulatory text is in this record and quoted where cited.</w:t>
      </w:r>
    </w:p>
    <w:p>
      <w:pPr>
        <w:pStyle w:val="Heading2"/>
        <w:keepNext/>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record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keepNext/>
      </w:pPr>
      <w:r>
        <w:t>Provenance</w:t>
      </w:r>
    </w:p>
    <w:p>
      <w:r>
        <w:t>Cell status for this product, from the record's one coverage formula: structured 0, extracted-unverified 28, verified 0, computed 11, partial 2, fetched 1, n/a 13, pending 0. 39 of 42 resolved: 28 evidenced, 11 computed, 3 partial, 13 n/a, 0 verified by a person.</w:t>
      </w:r>
    </w:p>
    <w:p>
      <w:r>
        <w:t>Of the 39 resolved cells (structured, extracted-unverified, verified and computed), 39 carry a source document, 39 a section, 28 a verbatim quote (computed cells carry their computation and inputs instead of a quote) and 39 an extractor. 3 cells are partial or fetched and are not counted as resolved. No cell is verified: no cell has been independently re-checked by a person, and the verifier column is empty on every row. Cells marked extracted-unverified were extracted by an agent from the cited document.</w:t>
      </w:r>
    </w:p>
    <w:p>
      <w:pPr>
        <w:pStyle w:val="Heading2"/>
        <w:keepNext/>
      </w:pPr>
      <w:r>
        <w:t>Sources cited, by filing</w:t>
      </w:r>
    </w:p>
    <w:p>
      <w:pPr>
        <w:keepNext/>
      </w:pPr>
      <w:r>
        <w:t>Every filing an evidenced cell cites, resolved against the filing manifest by accession, with the cells that cite it. A cell whose reference does not resolve is listed after the table with the reason. The source as written in the evidence ledger stays on the ledger row.</w:t>
      </w:r>
    </w:p>
    <w:tbl>
      <w:tblPr>
        <w:tblStyle w:val="TableGrid"/>
        <w:tblW w:type="dxa" w:w="9360"/>
        <w:tblLayout w:type="fixed"/>
        <w:tblLook w:firstColumn="1" w:firstRow="1" w:lastColumn="0" w:lastRow="0" w:noHBand="0" w:noVBand="1" w:val="04A0"/>
      </w:tblPr>
      <w:tblGrid>
        <w:gridCol w:w="1872"/>
        <w:gridCol w:w="4896"/>
        <w:gridCol w:w="2592"/>
      </w:tblGrid>
      <w:tr>
        <w:trPr>
          <w:tblHeader/>
          <w:cantSplit/>
        </w:trPr>
        <w:tc>
          <w:tcPr>
            <w:tcW w:type="dxa" w:w="1872"/>
          </w:tcPr>
          <w:p>
            <w:r>
              <w:t>Filing</w:t>
            </w:r>
          </w:p>
        </w:tc>
        <w:tc>
          <w:tcPr>
            <w:tcW w:type="dxa" w:w="4896"/>
          </w:tcPr>
          <w:p>
            <w:r>
              <w:t>Accession and EDGAR URL</w:t>
            </w:r>
          </w:p>
        </w:tc>
        <w:tc>
          <w:tcPr>
            <w:tcW w:type="dxa" w:w="2592"/>
          </w:tcPr>
          <w:p>
            <w:r>
              <w:t>Cells citing it</w:t>
            </w:r>
          </w:p>
        </w:tc>
      </w:tr>
      <w:tr>
        <w:trPr>
          <w:cantSplit/>
        </w:trPr>
        <w:tc>
          <w:tcPr>
            <w:tcW w:type="dxa" w:w="1872"/>
          </w:tcPr>
          <w:p>
            <w:r>
              <w:t>* 2026-06-01</w:t>
            </w:r>
          </w:p>
        </w:tc>
        <w:tc>
          <w:tcPr>
            <w:tcW w:type="dxa" w:w="4896"/>
          </w:tcPr>
          <w:p>
            <w:r>
              <w:t>accession 0001104659-26-068976</w:t>
            </w:r>
          </w:p>
          <w:p>
            <w:r>
              <w:t>https://www.sec.gov/Archives/edgar/data/1876006/000110465926068976/tm2616081d1_sctoi.htm</w:t>
            </w:r>
          </w:p>
        </w:tc>
        <w:tc>
          <w:tcPr>
            <w:tcW w:type="dxa" w:w="2592"/>
          </w:tcPr>
          <w:p>
            <w:r>
              <w:t>4.3 (cited as all filings held for the product, 4 held)</w:t>
            </w:r>
          </w:p>
        </w:tc>
      </w:tr>
      <w:tr>
        <w:trPr>
          <w:cantSplit/>
        </w:trPr>
        <w:tc>
          <w:tcPr>
            <w:tcW w:type="dxa" w:w="1872"/>
          </w:tcPr>
          <w:p>
            <w:r>
              <w:t>SC TO-I 2026-06-01</w:t>
            </w:r>
          </w:p>
        </w:tc>
        <w:tc>
          <w:tcPr>
            <w:tcW w:type="dxa" w:w="4896"/>
          </w:tcPr>
          <w:p>
            <w:r>
              <w:t>accession 0001104659-26-068976</w:t>
            </w:r>
          </w:p>
          <w:p>
            <w:r>
              <w:t>https://www.sec.gov/Archives/edgar/data/1876006/000110465926068976/tm2616081d1_sctoi.htm</w:t>
            </w:r>
          </w:p>
        </w:tc>
        <w:tc>
          <w:tcPr>
            <w:tcW w:type="dxa" w:w="2592"/>
          </w:tcPr>
          <w:p>
            <w:r>
              <w:t>1.1, 2.7, 3.1, 3.2, 6.5</w:t>
            </w:r>
          </w:p>
        </w:tc>
      </w:tr>
      <w:tr>
        <w:trPr>
          <w:cantSplit/>
        </w:trPr>
        <w:tc>
          <w:tcPr>
            <w:tcW w:type="dxa" w:w="1872"/>
          </w:tcPr>
          <w:p>
            <w:r>
              <w:t>* 2026-06-04</w:t>
            </w:r>
          </w:p>
        </w:tc>
        <w:tc>
          <w:tcPr>
            <w:tcW w:type="dxa" w:w="4896"/>
          </w:tcPr>
          <w:p>
            <w:r>
              <w:t>accession 0001104659-26-070502</w:t>
            </w:r>
          </w:p>
          <w:p>
            <w:r>
              <w:t>https://www.sec.gov/Archives/edgar/data/1876006/000110465926070502/tm2616743d1_424b3.htm</w:t>
            </w:r>
          </w:p>
        </w:tc>
        <w:tc>
          <w:tcPr>
            <w:tcW w:type="dxa" w:w="2592"/>
          </w:tcPr>
          <w:p>
            <w:r>
              <w:t>4.3 (cited as all filings held for the product, 4 held)</w:t>
            </w:r>
          </w:p>
        </w:tc>
      </w:tr>
      <w:tr>
        <w:trPr>
          <w:cantSplit/>
        </w:trPr>
        <w:tc>
          <w:tcPr>
            <w:tcW w:type="dxa" w:w="1872"/>
          </w:tcPr>
          <w:p>
            <w:r>
              <w:t>* 2026-06-04</w:t>
            </w:r>
          </w:p>
        </w:tc>
        <w:tc>
          <w:tcPr>
            <w:tcW w:type="dxa" w:w="4896"/>
          </w:tcPr>
          <w:p>
            <w:r>
              <w:t>accession 0001104659-26-070470</w:t>
            </w:r>
          </w:p>
          <w:p>
            <w:r>
              <w:t>https://www.sec.gov/Archives/edgar/data/1876006/000110465926070470/tm2616630d1_ncsr.htm</w:t>
            </w:r>
          </w:p>
        </w:tc>
        <w:tc>
          <w:tcPr>
            <w:tcW w:type="dxa" w:w="2592"/>
          </w:tcPr>
          <w:p>
            <w:r>
              <w:t>4.3 (cited as all filings held for the product, 4 held)</w:t>
            </w:r>
          </w:p>
        </w:tc>
      </w:tr>
      <w:tr>
        <w:trPr>
          <w:cantSplit/>
        </w:trPr>
        <w:tc>
          <w:tcPr>
            <w:tcW w:type="dxa" w:w="1872"/>
          </w:tcPr>
          <w:p>
            <w:r>
              <w:t>424B3 2026-06-04</w:t>
            </w:r>
          </w:p>
        </w:tc>
        <w:tc>
          <w:tcPr>
            <w:tcW w:type="dxa" w:w="4896"/>
          </w:tcPr>
          <w:p>
            <w:r>
              <w:t>accession 0001104659-26-070502</w:t>
            </w:r>
          </w:p>
          <w:p>
            <w:r>
              <w:t>https://www.sec.gov/Archives/edgar/data/1876006/000110465926070502/tm2616743d1_424b3.htm</w:t>
            </w:r>
          </w:p>
        </w:tc>
        <w:tc>
          <w:tcPr>
            <w:tcW w:type="dxa" w:w="2592"/>
          </w:tcPr>
          <w:p>
            <w:r>
              <w:t>1.11</w:t>
            </w:r>
          </w:p>
        </w:tc>
      </w:tr>
      <w:tr>
        <w:trPr>
          <w:cantSplit/>
        </w:trPr>
        <w:tc>
          <w:tcPr>
            <w:tcW w:type="dxa" w:w="1872"/>
          </w:tcPr>
          <w:p>
            <w:r>
              <w:t>N-CSR 2026-06-04</w:t>
            </w:r>
          </w:p>
        </w:tc>
        <w:tc>
          <w:tcPr>
            <w:tcW w:type="dxa" w:w="4896"/>
          </w:tcPr>
          <w:p>
            <w:r>
              <w:t>accession 0001104659-26-070470</w:t>
            </w:r>
          </w:p>
          <w:p>
            <w:r>
              <w:t>https://www.sec.gov/Archives/edgar/data/1876006/000110465926070470/tm2616630d1_ncsr.htm</w:t>
            </w:r>
          </w:p>
        </w:tc>
        <w:tc>
          <w:tcPr>
            <w:tcW w:type="dxa" w:w="2592"/>
          </w:tcPr>
          <w:p>
            <w:r>
              <w:t>1.1, 1.2, 1.3, 1.4, 1.11, 2.1, 2.2, 2.3, 2.6, 2.7, 3.1, 3.3, 3.4, 3.6, 4.1, 4.2, 4.4, 4.5, 4.6, 5.1, 6.1, 6.2, 6.3, 6.4, 6.5</w:t>
            </w:r>
          </w:p>
        </w:tc>
      </w:tr>
      <w:tr>
        <w:trPr>
          <w:cantSplit/>
        </w:trPr>
        <w:tc>
          <w:tcPr>
            <w:tcW w:type="dxa" w:w="1872"/>
          </w:tcPr>
          <w:p>
            <w:r>
              <w:t>* 2026-07-29</w:t>
            </w:r>
          </w:p>
        </w:tc>
        <w:tc>
          <w:tcPr>
            <w:tcW w:type="dxa" w:w="4896"/>
          </w:tcPr>
          <w:p>
            <w:r>
              <w:t>accession 0001104659-26-088219</w:t>
            </w:r>
          </w:p>
          <w:p>
            <w:r>
              <w:t>https://www.sec.gov/Archives/edgar/data/1876006/000110465926088219/tm2621209d1_486bpos.htm</w:t>
            </w:r>
          </w:p>
        </w:tc>
        <w:tc>
          <w:tcPr>
            <w:tcW w:type="dxa" w:w="2592"/>
          </w:tcPr>
          <w:p>
            <w:r>
              <w:t>4.3 (cited as all filings held for the product, 4 held)</w:t>
            </w:r>
          </w:p>
        </w:tc>
      </w:tr>
      <w:tr>
        <w:trPr>
          <w:cantSplit/>
        </w:trPr>
        <w:tc>
          <w:tcPr>
            <w:tcW w:type="dxa" w:w="1872"/>
          </w:tcPr>
          <w:p>
            <w:r>
              <w:t>486BPOS 2026-07-29</w:t>
            </w:r>
          </w:p>
        </w:tc>
        <w:tc>
          <w:tcPr>
            <w:tcW w:type="dxa" w:w="4896"/>
          </w:tcPr>
          <w:p>
            <w:r>
              <w:t>accession 0001104659-26-088219</w:t>
            </w:r>
          </w:p>
          <w:p>
            <w:r>
              <w:t>https://www.sec.gov/Archives/edgar/data/1876006/000110465926088219/tm2621209d1_486bpos.htm</w:t>
            </w:r>
          </w:p>
        </w:tc>
        <w:tc>
          <w:tcPr>
            <w:tcW w:type="dxa" w:w="2592"/>
          </w:tcPr>
          <w:p>
            <w:r>
              <w:t>1.11, 2.1, 2.2, 2.3, 2.4, 2.5, 2.6, 2.7, 3.1, 3.6, 4.1, 4.3, 4.4, 4.5, 6.1, 6.2, 6.3, 6.4, 6.5</w:t>
            </w:r>
          </w:p>
        </w:tc>
      </w:tr>
    </w:tbl>
    <w:p>
      <w:pPr>
        <w:keepNext/>
      </w:pPr>
      <w:r>
        <w:t>Cells whose reference does not resolve to a manifest row:</w:t>
      </w:r>
    </w:p>
    <w:p>
      <w:pPr>
        <w:pStyle w:val="ListBullet"/>
      </w:pPr>
      <w:r>
        <w:t>1.8: accession not on record: no filing reference in the source field</w:t>
      </w:r>
    </w:p>
    <w:p>
      <w:pPr>
        <w:pStyle w:val="ListBullet"/>
      </w:pPr>
      <w:r>
        <w:t>1.9: accession not on record: no filing reference in the source field</w:t>
      </w:r>
    </w:p>
    <w:p>
      <w:pPr>
        <w:pStyle w:val="ListBullet"/>
      </w:pPr>
      <w:r>
        <w:t>1.12: accession not on record: no filing reference in the source field</w:t>
      </w:r>
    </w:p>
    <w:p>
      <w:pPr>
        <w:pStyle w:val="ListBullet"/>
      </w:pPr>
      <w:r>
        <w:t>2.9: accession not on record: no filing reference in the source field</w:t>
      </w:r>
    </w:p>
    <w:p>
      <w:pPr>
        <w:pStyle w:val="ListBullet"/>
      </w:pPr>
      <w:r>
        <w:t>3.7: accession not on record: no filing reference in the source field</w:t>
      </w:r>
    </w:p>
    <w:p>
      <w:pPr>
        <w:pStyle w:val="ListBullet"/>
      </w:pPr>
      <w:r>
        <w:t>3.8: accession not on record: no filing reference in the source field</w:t>
      </w:r>
    </w:p>
    <w:p>
      <w:pPr>
        <w:pStyle w:val="ListBullet"/>
      </w:pPr>
      <w:r>
        <w:t>3.9: accession not on record: no filing reference in the source field</w:t>
      </w:r>
    </w:p>
    <w:p>
      <w:pPr>
        <w:pStyle w:val="ListBullet"/>
      </w:pPr>
      <w:r>
        <w:t>5.3: accession not on record: no filing reference in the source field</w:t>
      </w:r>
    </w:p>
    <w:p>
      <w:pPr>
        <w:pStyle w:val="ListBullet"/>
      </w:pPr>
      <w:r>
        <w:t>5.4: accession not on record: no filing reference in the source field</w:t>
      </w:r>
    </w:p>
    <w:p>
      <w:pPr>
        <w:pStyle w:val="ListBullet"/>
      </w:pPr>
      <w:r>
        <w:t>5.5: accession not on record: no filing reference in the source field</w:t>
      </w:r>
    </w:p>
    <w:p>
      <w:pPr>
        <w:pStyle w:val="ListBullet"/>
      </w:pPr>
      <w:r>
        <w:t>5.6: accession not on record: no filing reference in the source field</w:t>
      </w:r>
    </w:p>
    <w:p>
      <w:pPr>
        <w:pStyle w:val="ListBullet"/>
      </w:pPr>
      <w:r>
        <w:t>5.7: accession not on record: no filing reference in the source field</w:t>
      </w:r>
    </w:p>
    <w:p>
      <w:r>
        <w:t>Plan record: DOL Form 5500 and Schedule H for plan year 2024-01-01 to 2024-12-31, shown under the plan's anonymized label.</w:t>
      </w:r>
    </w:p>
    <w:p>
      <w:r>
        <w:t>Data sources: SEC EDGAR filings (4 held for this product in the filing manifest, every row with its accession) and DOL EBSA Form 5500 data for the plan, shown under its anonymized label.</w:t>
      </w:r>
    </w:p>
    <w:p>
      <w:pPr>
        <w:pStyle w:val="Heading1"/>
        <w:keepNext/>
      </w:pPr>
      <w:r>
        <w:t>Attachments</w:t>
      </w:r>
    </w:p>
    <w:p>
      <w:r>
        <w:t>Attachment A: the verbatim text of proposed 29 CFR 2550.404a-6 paragraphs (g) to (l), examples included, one document shared by every record and named by the first twelve characters of its content hash, aef7a94680824e5574780e1f614702189d9dafcf1fde58558ff3ac782d3dcd5a.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r>
    <w:r>
      <w:instrText xml:space="preserve">PAGE</w:instrText>
    </w:r>
    <w:r>
      <w:fldChar w:fldCharType="separate"/>
    </w:r>
    <w:r>
      <w:t>1</w:t>
    </w:r>
    <w:r>
      <w:fldChar w:fldCharType="end"/>
    </w:r>
    <w:r>
      <w:t xml:space="preserve"> of </w:t>
    </w:r>
    <w:r>
      <w:fldChar w:fldCharType="begin"/>
    </w:r>
    <w:r>
      <w:instrText xml:space="preserve">NUMPAGES</w:instrText>
    </w:r>
    <w:r>
      <w:fldChar w:fldCharType="separate"/>
    </w:r>
    <w:r>
      <w:t>1</w:t>
    </w:r>
    <w:r>
      <w:fldChar w:fldCharType="end"/>
    </w:r>
    <w:r>
      <w:t>. Record as of 2026-09-04.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Investment Selection Record. US industrial manufacturer 401(k) plan (~$0.8B, OH). Ares Private Markets Fund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Investment Selection Record: Ares Private Markets Fund for US industrial manufacturer 401(k) plan (~$0.8B, OH)</dc:title>
  <dc:subject>Fiduciary Duties in Selecting Designated Investment Alternatives, 91 FR 16088 (Mar. 31, 2026), RIN 1210-AC38, proposed 29 CFR 2550.404a-6, paragraphs (g) to (l)</dc:subject>
  <dc:creator>Tark</dc:creator>
  <cp:keywords>ares_pmf, plan_manufacturer_union, 2026-09-04</cp:keywords>
  <dc:description>Generated from the record. The fiduciary decides on it.</dc:description>
  <cp:lastModifiedBy>Tark</cp:lastModifiedBy>
  <cp:revision>1</cp:revision>
  <dcterms:created xsi:type="dcterms:W3CDTF">2026-09-04T00:00:00Z</dcterms:created>
  <dcterms:modified xsi:type="dcterms:W3CDTF">2026-09-04T00:00:00Z</dcterms:modified>
  <cp:category>Investment Selection Record</cp:category>
</cp:coreProperties>
</file>