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Hamilton Lane Private Assets Fund (tender-offer fund ('40 Act), NOT an interval fund, CIK 1803491).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1.0971 vs the equal-weight peer composite over FY2023 to FY2026 (years to 03-31) (n=3), not a benchmark and not a PME.</w:t>
      </w:r>
    </w:p>
    <w:p>
      <w:r>
        <w:t>Reference comparison, not the meaningful benchmark: Listed private equity investable proxy (PSP), KS-PME 1.9565, Direct Alpha 14.37%/yr over 2021-03-31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5.2 years of history since 2021-01-04 (cell 1.11), net assets of $5.8B (cell 3.4), a KS-PME of 1.9565 against PSP (cell 1.8) and a relative wealth ratio of 1.0971 against the peer composite (cell 1.12).</w:t>
            </w:r>
          </w:p>
          <w:p>
            <w:r>
              <w:t>Facts on record: 1.8 KS-PME 1.96 vs PSP (reference, not the benchmark). 1.11 inception 2021-01-04, 5.2 years. 1.12 peer relative wealth ratio 1.10, not a benchmark.</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10% (cell 2.2), the expense ratio is 3.40% (net, including the incentive fee, AFFE excluded (FY2026, Class I)) (cell 2.3) and the early repurchase fee is 2% &lt; 1 year (cell 2.7).</w:t>
            </w:r>
          </w:p>
          <w:p>
            <w:r>
              <w:t>Facts on record: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11.5% of the position per year (the plan record) and the structural verdict is partial with the scenario verdict conditional under this plan (ILLUSTRATIVE, cell 3.9).</w:t>
            </w:r>
          </w:p>
          <w:p>
            <w:r>
              <w:t>Facts on record: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Cohen &amp; Company, Ltd. (cell 4.5).</w:t>
            </w:r>
          </w:p>
          <w:p>
            <w:r>
              <w:t>Facts on record: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i.e., the bulk of the portfolio,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Hamilton Lane Private Assets Fund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Hamilton Lane Advisors, L.L.C., 110 Washington St, Ste. 1300, Conshohocken, PA, Custodian, UMB Bank, n.a., Kansas City, MO (affiliate of UMBFS), Fund Administrator, Transfer Agent and Fund Accountant, UMB Fund Services, Inc. ('UMBFS'), 235 W. Galena Street, Milwaukee, WI, Distributor, Distribution Services, LLC, 3 Canal Plaza, Suite 100, Portland, ME, Independent Registered Public Accounting Firm, Cohen &amp; Company, Ltd., Cleveland, OH (audit opinion signed COHEN &amp; COMPANY, LTD.).</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10%</w:t>
            </w:r>
          </w:p>
        </w:tc>
        <w:tc>
          <w:tcPr>
            <w:tcW w:type="dxa" w:w="2880"/>
          </w:tcPr>
          <w:p>
            <w:r>
              <w:t>extracted-unverified</w:t>
            </w:r>
          </w:p>
        </w:tc>
      </w:tr>
      <w:tr>
        <w:trPr>
          <w:cantSplit/>
        </w:trPr>
        <w:tc>
          <w:tcPr>
            <w:tcW w:type="dxa" w:w="2880"/>
          </w:tcPr>
          <w:p>
            <w:r>
              <w:t>2.3 Total expense ratio &amp; waivers</w:t>
            </w:r>
          </w:p>
        </w:tc>
        <w:tc>
          <w:tcPr>
            <w:tcW w:type="dxa" w:w="3600"/>
          </w:tcPr>
          <w:p>
            <w:r>
              <w:t>3.40% expense ratio, net, including the incentive fee, AFFE excluded (FY2026, Class I)</w:t>
            </w:r>
          </w:p>
        </w:tc>
        <w:tc>
          <w:tcPr>
            <w:tcW w:type="dxa" w:w="2880"/>
          </w:tcPr>
          <w:p>
            <w:r>
              <w:t>extracted-unverified</w:t>
            </w:r>
          </w:p>
        </w:tc>
      </w:tr>
      <w:tr>
        <w:trPr>
          <w:cantSplit/>
        </w:trPr>
        <w:tc>
          <w:tcPr>
            <w:tcW w:type="dxa" w:w="2880"/>
          </w:tcPr>
          <w:p>
            <w:r>
              <w:t>2.4 AFFE</w:t>
            </w:r>
          </w:p>
        </w:tc>
        <w:tc>
          <w:tcPr>
            <w:tcW w:type="dxa" w:w="3600"/>
          </w:tcPr>
          <w:p>
            <w:r>
              <w:t>AFFE 0.49%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1.9565, Direct Alpha 14.37%/yr, 2021-03-31 to 2026-03-31</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1.1603, Direct Alpha 3.02%/yr</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1.2386, Direct Alpha 4.37%/yr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1.0971, annualized excess return 2.34%/yr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ee23619b. Rubric v3.1. The full record hash is ee23619b348e3d9985ea71b81923395b3f101b3258f66e51fe86bf95cb585966.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6 of 10, fails the strategy gate (strategy match 1 of 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keepNext/>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13.98%/yr (filed fiscal-year returns) vs the peer composite 11.37%/yr, relative wealth ratio 1.0971, annualized excess return 2.34%/yr.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StepStone Private Markets: filed fiscal-year returns, Ares Private Markets Fund: filed fiscal-year returns, AMG Pantheon Fund, LLC: filed fiscal-year returns. Excluded from the composite: KKR Private Equity Conglomerate LLC reports calendar years. Hamilton Lane Private Assets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20.77%</w:t>
            </w:r>
          </w:p>
        </w:tc>
        <w:tc>
          <w:tcPr>
            <w:tcW w:type="dxa" w:w="1498"/>
          </w:tcPr>
          <w:p>
            <w:r>
              <w:t>29.43%</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16.1%</w:t>
            </w:r>
          </w:p>
        </w:tc>
        <w:tc>
          <w:tcPr>
            <w:tcW w:type="dxa" w:w="1498"/>
          </w:tcPr>
          <w:p>
            <w:r>
              <w:t>8.23%</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12.68%</w:t>
            </w:r>
          </w:p>
        </w:tc>
        <w:tc>
          <w:tcPr>
            <w:tcW w:type="dxa" w:w="1498"/>
          </w:tcPr>
          <w:p>
            <w:r>
              <w:t>13.79%</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12.59%</w:t>
            </w:r>
          </w:p>
        </w:tc>
        <w:tc>
          <w:tcPr>
            <w:tcW w:type="dxa" w:w="1498"/>
          </w:tcPr>
          <w:p>
            <w:r>
              <w:t>10.76%</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14.6%</w:t>
            </w:r>
          </w:p>
        </w:tc>
        <w:tc>
          <w:tcPr>
            <w:tcW w:type="dxa" w:w="1498"/>
          </w:tcPr>
          <w:p>
            <w:r>
              <w:t>10.47%</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(offer continuity since Q2-2021 evidenced. Per-offer proration incidence not printed in on-disk filings).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offer continuity since Q2-2021 evidenced. Per-offer proration incidence not printed in on-disk filings</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$5.8B</w:t>
            </w:r>
          </w:p>
        </w:tc>
        <w:tc>
          <w:tcPr>
            <w:tcW w:type="dxa" w:w="1152"/>
          </w:tcPr>
          <w:p>
            <w:r>
              <w:t>3.4</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$1.2B per year (20% of $5.8B net assets, cell 3.4). The plan's demand at the filed rate is $4.6M per year, 0.39% of that capacity, a claim shared with every other holder.</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$5.8B net assets (cell 3.4)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net assets (3.1), quarterly offers (3.1), program active as of 2026-03-31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3.4,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fund-of-funds/secondaries in a tender-offer wrapper,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2021-07-29</w:t>
            </w:r>
          </w:p>
        </w:tc>
        <w:tc>
          <w:tcPr>
            <w:tcW w:type="dxa" w:w="4896"/>
          </w:tcPr>
          <w:p>
            <w:r>
              <w:t>accession 0001398344-21-015077</w:t>
            </w:r>
          </w:p>
          <w:p>
            <w:r>
              <w:t>https://www.sec.gov/Archives/edgar/data/1803491/000139834421015077/fp0067291_486bpos.htm</w:t>
            </w:r>
          </w:p>
        </w:tc>
        <w:tc>
          <w:tcPr>
            <w:tcW w:type="dxa" w:w="2592"/>
          </w:tcPr>
          <w:p>
            <w:r>
              <w:t>1.11, 2.2, 2.4, 2.5, 2.6, 6.2, 6.3, 6.4, 6.5</w:t>
            </w:r>
          </w:p>
        </w:tc>
      </w:tr>
      <w:tr>
        <w:trPr>
          <w:cantSplit/>
        </w:trPr>
        <w:tc>
          <w:tcPr>
            <w:tcW w:type="dxa" w:w="1872"/>
          </w:tcPr>
          <w:p>
            <w:r>
              <w:t>SC TO-I 2026-05-06</w:t>
            </w:r>
          </w:p>
        </w:tc>
        <w:tc>
          <w:tcPr>
            <w:tcW w:type="dxa" w:w="4896"/>
          </w:tcPr>
          <w:p>
            <w:r>
              <w:t>accession 0001213900-26-052657</w:t>
            </w:r>
          </w:p>
          <w:p>
            <w:r>
              <w:t>https://www.sec.gov/Archives/edgar/data/1803491/000121390026052657/ea0288793-01_sctoi.htm</w:t>
            </w:r>
          </w:p>
        </w:tc>
        <w:tc>
          <w:tcPr>
            <w:tcW w:type="dxa" w:w="2592"/>
          </w:tcPr>
          <w:p>
            <w:r>
              <w:t>3.1, 3.2, 3.3</w:t>
            </w:r>
          </w:p>
        </w:tc>
      </w:tr>
      <w:tr>
        <w:trPr>
          <w:cantSplit/>
        </w:trPr>
        <w:tc>
          <w:tcPr>
            <w:tcW w:type="dxa" w:w="1872"/>
          </w:tcPr>
          <w:p>
            <w:r>
              <w:t>N-CSR 2026-06-09</w:t>
            </w:r>
          </w:p>
        </w:tc>
        <w:tc>
          <w:tcPr>
            <w:tcW w:type="dxa" w:w="4896"/>
          </w:tcPr>
          <w:p>
            <w:r>
              <w:t>accession 0001213900-26-066804</w:t>
            </w:r>
          </w:p>
          <w:p>
            <w:r>
              <w:t>https://www.sec.gov/Archives/edgar/data/1803491/000121390026066804/ea0291054-01_ncsr.htm</w:t>
            </w:r>
          </w:p>
        </w:tc>
        <w:tc>
          <w:tcPr>
            <w:tcW w:type="dxa" w:w="2592"/>
          </w:tcPr>
          <w:p>
            <w:r>
              <w:t>1.1, 1.2, 1.3, 1.4, 1.11, 2.1, 2.2, 2.3, 2.6, 2.7, 3.2, 3.3, 3.4, 3.6, 4.1, 4.2, 4.3, 4.4, 4.5, 4.6, 5.1, 6.1, 6.2, 6.3, 6.5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(6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Hamilton Lane Private Assets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Hamilton Lane Private Assets Fund for US industrial manufacturer 401(k) plan (~$0.8B, OH)</dc:title>
  <dc:subject>Fiduciary Duties in Selecting Designated Investment Alternatives, 91 FR 16088 (Mar. 31, 2026), RIN 1210-AC38, proposed 29 CFR 2550.404a-6, paragraphs (g) to (l)</dc:subject>
  <dc:creator>Tark</dc:creator>
  <cp:keywords>hl_paf,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