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casual-dining restaurant group 401(k) plan (~$1.6B, FL)</w:t>
      </w:r>
      <w:r>
        <w:t xml:space="preserve">. Product: AMG Pantheon Fund, LLC (tender-offer fund ('40 Act), evergreen PE, CIK 1609211).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US casual-dining restaurant group 401(k) plan (~$1.6B, FL) (ILLUSTRATIVE): CONDITIONAL.</w:t>
      </w:r>
    </w:p>
    <w:p>
      <w:r>
        <w:t>Meaningful benchmark (paragraph (k)): Cambridge Associates US PE benchmark at 8 of 10, cited, series not in the record. Meaningful benchmark by descriptor. No comparison until its series is held. Peer comparison (paragraphs (g) and (h)): relative wealth ratio 0.8813 vs the equal-weight peer composite over FY2023 to FY2026 (years to 03-31) (n=3), not a benchmark and not a PME.</w:t>
      </w:r>
    </w:p>
    <w:p>
      <w:r>
        <w:t>Reference comparison, not the meaningful benchmark: Listed private equity investable proxy (PSP), KS-PME 1.5919, Direct Alpha 6.87%/yr over 2019-03-31 to 2026-03-31.</w:t>
      </w:r>
    </w:p>
    <w:p>
      <w:r>
        <w:t>Evidence coverage: 38 of 42 resolved: 27 evidenced, 11 computed, 4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structural verdict partial, facts missing: gating history (cells 3.1,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11.5 years of history since 2014-09-30 (cell 1.11), a KS-PME of 1.5919 against PSP (cell 1.8) and a relative wealth ratio of 0.8813 against the peer composite (cell 1.12).</w:t>
            </w:r>
          </w:p>
          <w:p>
            <w:r>
              <w:t>Facts on record: 1.8 KS-PME 1.59 vs PSP (reference, not the benchmark). 1.11 inception 2014-09-30, 11.5 years. 1.12 peer relative wealth ratio 0.88, not a benchmark.</w:t>
            </w:r>
          </w:p>
          <w:p>
            <w:r>
              <w:t>1.1 Net total return series (extracted-unverified): NAV-based net total return series, fiscal years ended March 31, all five classes printed.</w:t>
            </w:r>
          </w:p>
          <w:p>
            <w:r>
              <w:t>1.2 Trailing &amp; calendar-year returns (extracted-unverified): Average annual total returns as of 3/31/2026 (1yr / 5yr / 10yr / since inception, inception date): Class 4: 9.10% / 11.12% / 13.16% / 11.63% (09/30/14), Class 3: 8.88 / 10.84 / 12.87 / 12.50 (10/27/15), Class 2: 8.60 / 10.56 / 12.60 / 12.21 (10/27/15), Class 1: 8.35 / 10.29 / 12.20 / 11.81 (10/27/15), Class 5 (includes max 3.50% sales load): 4.29 / 9.23 / - / 12.72 (07/31/20).</w:t>
            </w:r>
          </w:p>
          <w:p>
            <w:r>
              <w:t>1.3 Gross vs net spread (partial): PARTIAL: no gross-of-fees RETURN series is printed in any on-disk document, only net total returns.</w:t>
            </w:r>
          </w:p>
          <w:p>
            <w:r>
              <w:t>1.4 Distribution history &amp; composition (extracted-unverified): Distributions declared/paid at least annually, identical per-unit across classes: FY2026 $0.63, FY2025 $0.25, FY2024 $0.17, FY2023 $0.41, FY2022 $0.72 - all from net realized gain on investments.</w:t>
            </w:r>
          </w:p>
          <w:p>
            <w:r>
              <w:t>1.8 Risk-adjusted metrics (PME etc) (computed): Meaningful benchmark (paragraph (k)), Cambridge Associates US PE benchmark scored 8 of 10.</w:t>
            </w:r>
          </w:p>
          <w:p>
            <w:r>
              <w:t>1.9 Stress-window performance (computed): Stress observation from the printed fiscal-year returns on record.</w:t>
            </w:r>
          </w:p>
          <w:p>
            <w:r>
              <w:t>1.11 Track record &amp; manager tenure (extracted-unverified): Fund inception 09/30/14 (Class 4 inception date, the performance table's dagger footnote marks 09/30/14 as the Fund's inception), approx. 11.5-year track record at FYE 2026-03-31.</w:t>
            </w:r>
          </w:p>
          <w:p>
            <w:r>
              <w:t>1.12 Peer comparison (paragraphs (g) and (h)) (computed): Peer comparison (paragraphs (g) and (h)): evergreen private equity cohort, peers Hamilton Lane Private Assets Fund, StepStone Private Markets, KKR Private Equity Conglomerate LLC, Ares Private Markets Fund, fund return basis filed fiscal-year returns.</w:t>
            </w:r>
          </w:p>
          <w:p>
            <w:r>
              <w:t>Not applicable: 1.5 underlying fund/GP-level performance (IRR/MOIC/TVPI) is not printed in any on-disk filing. 1.6 sub-annual return series not free-public for this wrapper. 1.7 sub-annual return series not free-public for this wrapper. 1.10 units are not traded in any market, so no market price or premium/discount exists.</w:t>
            </w:r>
          </w:p>
        </w:tc>
      </w:tr>
      <w:tr>
        <w:trPr>
          <w:cantSplit/>
        </w:trPr>
        <w:tc>
          <w:tcPr>
            <w:tcW w:type="dxa" w:w="1728"/>
          </w:tcPr>
          <w:p>
            <w:r>
              <w:t>2. Fees (h)</w:t>
            </w:r>
          </w:p>
        </w:tc>
        <w:tc>
          <w:tcPr>
            <w:tcW w:type="dxa" w:w="7632"/>
          </w:tcPr>
          <w:p>
            <w:r>
              <w:t>On fees and expenses (h), the management fee is 0.70% on net assets (cell 2.1), the incentive fee is none (cell 2.2), the expense ratio is 2.38% (total annual expenses of the inception class, classes range 2.38% to 3.38%) (cell 2.3) and the early repurchase fee is 2% &lt; 1 year (cell 2.7).</w:t>
            </w:r>
          </w:p>
          <w:p>
            <w:r>
              <w:t>Facts on record: 2.1 0.70% on net assets. 2.2 incentive fee: none. 2.3 2.38% expense ratio, total annual expenses of the inception class, classes range 2.38% to 3.38%. 2.4 AFFE 0.81%. 2.7 early repurchase fee: 2% &lt; 1 year.</w:t>
            </w:r>
          </w:p>
          <w:p>
            <w:r>
              <w:t>2.1 Management fee (rate AND base) (extracted-unverified): RATE: 0.70% annual.</w:t>
            </w:r>
          </w:p>
          <w:p>
            <w:r>
              <w:t>2.2 Incentive fee terms (extracted-unverified): Documented absence at Fund/Master level: the N-2 fee tables for all five classes print only Management Fee, Distribution and/or Service Fee, Other Expenses, and Acquired Fund Fees and Expenses, no incentive or performance fee line.</w:t>
            </w:r>
          </w:p>
          <w:p>
            <w:r>
              <w:t>2.3 Total expense ratio &amp; waivers (extracted-unverified): N-2 fee tables, Total Annual Expenses (as % of net assets attributable to Units): Class 1 3.13%, Class 2 2.88%, Class 3 2.63%, Class 4 2.38%, Class 5 3.38%, each = 0.70% management + 0.75/0.50/0.25/0.00/1.00% distribution-service + 0.87% Other Expenses + 0.81% AFFE, no waiver line in the current tables.</w:t>
            </w:r>
          </w:p>
          <w:p>
            <w:r>
              <w:t>2.4 AFFE (extracted-unverified): AFFE 0.81% for every class (Class 1 table and Class 2-5 table identical).</w:t>
            </w:r>
          </w:p>
          <w:p>
            <w:r>
              <w:t>2.5 Underlying GP economics (extracted-unverified): Printed underlying-fund economics: Investment Funds generally charge a management fee of 1.00% to 2.00% and 10% to 20% of net profits as a carried interest allocation.</w:t>
            </w:r>
          </w:p>
          <w:p>
            <w:r>
              <w:t>2.6 Loads &amp; servicing fees (extracted-unverified): Sales loads: none for Classes 1-4, Class 5 max front-end sales load 3.50% (FY2026: Class 5 investors paid $2,274,007 in loads to distributor/sub-distributor/selling agents).</w:t>
            </w:r>
          </w:p>
          <w:p>
            <w:r>
              <w:t>2.7 Early repurchase fee (extracted-unverified): 2.00% early repurchase fee, charged on repurchase of Units at any time prior to the day immediately preceding the one-year anniversary of purchase (first-in-first-out basis), payable to and retained by the Fund for remaining Investors, Board may waive where in the Fund's best interests without unfair discrimination.</w:t>
            </w:r>
          </w:p>
          <w:p>
            <w:r>
              <w:t>2.9 Fee peer percentile (computed): Cohort placement (evergreen private equity cohort): mgmt fee: 10th percentile of cohort (n=5), below the median of 1.4 | expense ratio (bases differ, see notes): 30th percentile of cohort (n=5), below the median of 3.19 | repurchase cap: 50th percentile of cohort (n=5), at the median of 5.</w:t>
            </w:r>
          </w:p>
          <w:p>
            <w:r>
              <w:t>Not applicable: 2.8 CIT only. 2.10 requires the plan committee's own value-for-fees determination, workflow output, not public product data (inputs live in cells 2.1-2.7).</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2026-03-31 (cell 3.1), the plan's filed outflow proxy is 10.8% of the position per year (the plan record) and the structural verdict is partial with the scenario verdict conditional under this plan (ILLUSTRATIVE, cell 3.9).</w:t>
            </w:r>
          </w:p>
          <w:p>
            <w:r>
              <w:t>Facts on record: 3.1 quarterly dealing, 5% cap per quarter. 3.3 repurchase cadence per year: 4. 3.9 structural verdict partial, plan-independent.</w:t>
            </w:r>
          </w:p>
          <w:p>
            <w:r>
              <w:t>3.1 Wrapper liquidity terms (extracted-unverified): Wrapper liquidity: unlisted tender-offer fund, no unitholder redemption right, repurchases only via written tenders at times/amounts/terms set by the Board in its sole discretion.</w:t>
            </w:r>
          </w:p>
          <w:p>
            <w:r>
              <w:t>3.2 Repurchase mechanics (extracted-unverified): Mechanics per live offer (SC TO-I filed 2026-08-03): tenders due 11:59 p.m. ET 2026-08-28, purchase price = class NAV as of Valuation Date 2026-09-30 (approx. one month after expiration), payment in cash or a non-interest-bearing uncertificated debt obligation for the Valuation-Date value, withdrawal rights until expiration, some Members must route the Letter of Transmittal via their Financial Advisor.</w:t>
            </w:r>
          </w:p>
          <w:p>
            <w:r>
              <w:t>3.3 Repurchase history (extracted-unverified): As disclosed (recorded 2026-08-15): live offer (launched 2026-08-03, expires 2026-08-28) for up to 11,957,272 Units, approx. 5% of the 239,145,444 Units outstanding at 5/31/2026.</w:t>
            </w:r>
          </w:p>
          <w:p>
            <w:r>
              <w:t>3.4 Portfolio liquidity profile (extracted-unverified): Master Fund holdings attributes table at 3/31/2026: every private investment category 'Not Redeemable', redemption frequency/notice N/A, remaining lives up to 12 years.</w:t>
            </w:r>
          </w:p>
          <w:p>
            <w:r>
              <w:t>3.6 Fund leverage &amp; facilities (extracted-unverified): $1.5 billion revolving credit facility at the Master Fund (amended and restated 2025-12-18, up from $800M, via syndication with three additional lenders plus an increased existing commitment), secured by Master Fund assets incl. Corporate Subsidiary and Lead Fund assets (the Lead Fund was organized to facilitate the facility).</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ILLUSTRATIVE redemption stress test for this plan: filed outflow proxy 10.75% of the position, slider assumption 9.2%, stressed demand 18.2% vs 20% annual wrapper capacity, within wrapper capacity (18.2% vs 20%) IF offers are not prorated. Source: this plan's liquidity match.</w:t>
            </w:r>
          </w:p>
          <w:p>
            <w:r>
              <w:t>3.9 Product-to-plan liquidity match (computed, this plan): Structural liquidity verdict PARTIAL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KPMG LLP (Big 4) (cell 4.5).</w:t>
            </w:r>
          </w:p>
          <w:p>
            <w:r>
              <w:t>Facts on record: 4.5 KPMG LLP (Big 4).</w:t>
            </w:r>
          </w:p>
          <w:p>
            <w:r>
              <w:t>4.1 Valuation policy &amp; NAV frequency (extracted-unverified): NAV FREQUENCY: monthly, NAV of the Master Fund and each class calculated as of close of business on the last business day of each calendar month, plus any distribution date and other Board-determined times ('Determination Dates'), expenses accrued monthly.</w:t>
            </w:r>
          </w:p>
          <w:p>
            <w:r>
              <w:t>4.2 Fair-value hierarchy (L1/2/3) (extracted-unverified): Master Fund consolidated hierarchy at 3/31/2026: Level 1 $581,361,401 (common stock $48.1M + short-term other-investment-companies $533.3M), Level 2 $0, Level 3 $325,527,462 (co-investments $315.9M + primary funds $9.7M), investments valued at NAV as practical expedient $5,754,271,490 (co-investments $2,053.3M, primaries $562.8M, secondaries $3,138.2M), total investments $6,661,160,353 - i.e., 86.4% NAV-expedient, 4.9% Level 3.</w:t>
            </w:r>
          </w:p>
          <w:p>
            <w:r>
              <w:t>4.3 Independent valuation agent (partial): PARTIAL: no independent valuation agent is NAMED and no standing engagement is disclosed.</w:t>
            </w:r>
          </w:p>
          <w:p>
            <w:r>
              <w:t>4.4 Methodology by asset type (extracted-unverified): By asset type (Master Fund Note 1a + L3 quantitative table at 3/31/2026): direct investments/certain co-investments, market or income approach (techniques printed: recent round of financing/option pricing model with term 1.75-5.00 and volatility 40-75%, market comparables with EBITDA multiples 8.25x-18.30x avg 13.21x, guideline transaction multiples, discounted cash flow).</w:t>
            </w:r>
          </w:p>
          <w:p>
            <w:r>
              <w:t>4.5 Auditor &amp; opinion (extracted-unverified): KPMG LLP, New York, New York, report dated May 29, 2026, unqualified opinion on the Fund's FY2026 financial statements and five years of financial highlights ('present fairly, in all material respects'), PCAOB-registered, signature block states auditor since 2021.</w:t>
            </w:r>
          </w:p>
          <w:p>
            <w:r>
              <w:t>4.6 NAV restatement history (extracted-unverified): None identified: searched all four on-disk documents (N-CSR FY2026, N-2 2026-07-30, SC TO-I 2026-08-03, 424B3 2025-08-01) for 'restat' and 'error correction' on 2026-08-15 - zero NAV-restatement hits, every occurrence is 'amended and restated' credit-agreement/LLC-certificate boilerplate (N-CSR 1, N-2 13, 424B3 6, SC TO-I 0).</w:t>
            </w:r>
          </w:p>
          <w:p>
            <w:r>
              <w:t>Not applicable: 4.7 no market price for a non-listed NAV-transaction wrapper. 4.8 sub-annual return series not free-public for this wrapper. 4.9 CIT only.</w:t>
            </w:r>
          </w:p>
        </w:tc>
      </w:tr>
      <w:tr>
        <w:trPr>
          <w:cantSplit/>
        </w:trPr>
        <w:tc>
          <w:tcPr>
            <w:tcW w:type="dxa" w:w="1728"/>
          </w:tcPr>
          <w:p>
            <w:r>
              <w:t>5. Performance Benchmarks (k)</w:t>
            </w:r>
          </w:p>
        </w:tc>
        <w:tc>
          <w:tcPr>
            <w:tcW w:type="dxa" w:w="7632"/>
          </w:tcPr>
          <w:p>
            <w:r>
              <w:t>On performance benchmarks (k), the meaningful benchmark is Cambridge Associates US PE benchmark, scored 8 of 10 (cell 5.3) and meaningful benchmark by descriptor. No comparison until its series is held.</w:t>
            </w:r>
          </w:p>
          <w:p>
            <w:r>
              <w:t>Facts on record: 5.3 Cambridge PE benchmark selected by descriptor, 8 of 10.</w:t>
            </w:r>
          </w:p>
          <w:p>
            <w:r>
              <w:t>5.1 Self-declared benchmark (extracted-unverified): Self-declared comparison index in the annual report: MSCI World Index, used in both the cumulative-return graph (hypothetical $50,000,000 in Class 4 units vs the index) and the Average Annual Total Returns table (MSCI World rows measured from Fund inception 09/30/14: 1yr 18.90%, 5yr 10.27%, 10yr 11.80%, SI 10.16%).</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2019-03-31 to 2026-03-31 (series comparison, clipped: proxy series begins 2018-07-18, 3 fiscal year(s) outside it dropped).</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tender-offer fund (cell 6.1), tax reporting is Form 1099 (cell 6.4) and cells 6.6 and 6.8 are advisor-completed under paragraph (l).</w:t>
            </w:r>
          </w:p>
          <w:p>
            <w:r>
              <w:t>Facts on record: 6.1 tender-offer fund. 6.4 Form 1099.</w:t>
            </w:r>
          </w:p>
          <w:p>
            <w:r>
              <w:t>6.1 Structure map (extracted-unverified): Master-feeder: AMG Pantheon Fund, LLC (Delaware LLC, closed-end non-diversified, perpetual term, five unit classes, CIK 1609211) is a feeder investing substantially all assets in AMG Pantheon Master Fund, LLC (affiliate, Fund owned 96% of Master units at 3/31/2026).</w:t>
            </w:r>
          </w:p>
          <w:p>
            <w:r>
              <w:t>6.2 Strategy &amp; instrument complexity (extracted-unverified): Evergreen private-equity vehicle, objective long-term capital appreciation, strategy mix at 3/31/2026 (Master SOI): secondaries $3,138.2M + co-investments $2,369.1M + primary funds $572.5M + common stock $48.1M + short-term $533.3M = $6,661.2M total investments.</w:t>
            </w:r>
          </w:p>
          <w:p>
            <w:r>
              <w:t>6.3 Conflicts &amp; affiliated transactions (extracted-unverified): Printed conflicts web: AMG (Affiliated Managers Group, Inc.) indirectly owns a majority of the Adviser (Pantheon), the Administrator (AMG Funds LLC, AMG's US wealth platform) and Distributor (AMG Distributors, Inc., wholly-owned by the Administrator) sit on the AMG side, while sub-administrator and sub-distributor (Pantheon Securities, LLC) are Adviser affiliates.</w:t>
            </w:r>
          </w:p>
          <w:p>
            <w:r>
              <w:t>6.4 Tax reporting (1099 vs K-1) (extracted-unverified): Form 1099-DIV literally printed (Other Tax Information): investors receive Form 1099-DIV showing the tax status of distributions, no K-1.</w:t>
            </w:r>
          </w:p>
          <w:p>
            <w:r>
              <w:t>6.5 Service-provider web (extracted-unverified): Adviser/Investment Manager: Pantheon Ventures (US) LP (San Francisco, also sub-administrator).</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0.70% on net assets</w:t>
            </w:r>
          </w:p>
        </w:tc>
        <w:tc>
          <w:tcPr>
            <w:tcW w:type="dxa" w:w="2880"/>
          </w:tcPr>
          <w:p>
            <w:r>
              <w:t>extracted-unverified</w:t>
            </w:r>
          </w:p>
        </w:tc>
      </w:tr>
      <w:tr>
        <w:trPr>
          <w:cantSplit/>
        </w:trPr>
        <w:tc>
          <w:tcPr>
            <w:tcW w:type="dxa" w:w="2880"/>
          </w:tcPr>
          <w:p>
            <w:r>
              <w:t>2.2 Incentive fee terms</w:t>
            </w:r>
          </w:p>
        </w:tc>
        <w:tc>
          <w:tcPr>
            <w:tcW w:type="dxa" w:w="3600"/>
          </w:tcPr>
          <w:p>
            <w:r>
              <w:t>incentive fee: none</w:t>
            </w:r>
          </w:p>
        </w:tc>
        <w:tc>
          <w:tcPr>
            <w:tcW w:type="dxa" w:w="2880"/>
          </w:tcPr>
          <w:p>
            <w:r>
              <w:t>extracted-unverified</w:t>
            </w:r>
          </w:p>
        </w:tc>
      </w:tr>
      <w:tr>
        <w:trPr>
          <w:cantSplit/>
        </w:trPr>
        <w:tc>
          <w:tcPr>
            <w:tcW w:type="dxa" w:w="2880"/>
          </w:tcPr>
          <w:p>
            <w:r>
              <w:t>2.3 Total expense ratio &amp; waivers</w:t>
            </w:r>
          </w:p>
        </w:tc>
        <w:tc>
          <w:tcPr>
            <w:tcW w:type="dxa" w:w="3600"/>
          </w:tcPr>
          <w:p>
            <w:r>
              <w:t>2.38% expense ratio, total annual expenses of the inception class, classes range 2.38% to 3.38%</w:t>
            </w:r>
          </w:p>
        </w:tc>
        <w:tc>
          <w:tcPr>
            <w:tcW w:type="dxa" w:w="2880"/>
          </w:tcPr>
          <w:p>
            <w:r>
              <w:t>extracted-unverified</w:t>
            </w:r>
          </w:p>
        </w:tc>
      </w:tr>
      <w:tr>
        <w:trPr>
          <w:cantSplit/>
        </w:trPr>
        <w:tc>
          <w:tcPr>
            <w:tcW w:type="dxa" w:w="2880"/>
          </w:tcPr>
          <w:p>
            <w:r>
              <w:t>2.4 AFFE</w:t>
            </w:r>
          </w:p>
        </w:tc>
        <w:tc>
          <w:tcPr>
            <w:tcW w:type="dxa" w:w="3600"/>
          </w:tcPr>
          <w:p>
            <w:r>
              <w:t>AFFE 0.81%</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2% &lt; 1 year</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filed fiscal-year returns.</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Cambridge Associates US PE benchmark</w:t>
            </w:r>
          </w:p>
        </w:tc>
        <w:tc>
          <w:tcPr>
            <w:tcW w:type="dxa" w:w="1584"/>
          </w:tcPr>
          <w:p>
            <w:r>
              <w:t>published strategy index</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KS-PME 1.5919, Direct Alpha 6.87%/yr, 2019-03-31 to 2026-03-31</w:t>
            </w:r>
          </w:p>
        </w:tc>
      </w:tr>
      <w:tr>
        <w:trPr>
          <w:cantSplit/>
        </w:trPr>
        <w:tc>
          <w:tcPr>
            <w:tcW w:type="dxa" w:w="1584"/>
          </w:tcPr>
          <w:p>
            <w:r>
              <w:t>SEC-required comparator</w:t>
            </w:r>
          </w:p>
        </w:tc>
        <w:tc>
          <w:tcPr>
            <w:tcW w:type="dxa" w:w="2736"/>
          </w:tcPr>
          <w:p>
            <w:r>
              <w:t>MSCI World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1.0483, Direct Alpha 0.68%/yr</w:t>
            </w:r>
          </w:p>
        </w:tc>
      </w:tr>
      <w:tr>
        <w:trPr>
          <w:cantSplit/>
        </w:trPr>
        <w:tc>
          <w:tcPr>
            <w:tcW w:type="dxa" w:w="1584"/>
          </w:tcPr>
          <w:p>
            <w:r>
              <w:t>Peer comparison (paragraphs (g) and (h))</w:t>
            </w:r>
          </w:p>
        </w:tc>
        <w:tc>
          <w:tcPr>
            <w:tcW w:type="dxa" w:w="2736"/>
          </w:tcPr>
          <w:p>
            <w:r>
              <w:t>evergreen private equity cohort</w:t>
            </w:r>
          </w:p>
        </w:tc>
        <w:tc>
          <w:tcPr>
            <w:tcW w:type="dxa" w:w="1584"/>
          </w:tcPr>
          <w:p>
            <w:r>
              <w:t>peer cohort</w:t>
            </w:r>
          </w:p>
        </w:tc>
        <w:tc>
          <w:tcPr>
            <w:tcW w:type="dxa" w:w="864"/>
          </w:tcPr>
          <w:p>
            <w:r>
              <w:t>not scored</w:t>
            </w:r>
          </w:p>
        </w:tc>
        <w:tc>
          <w:tcPr>
            <w:tcW w:type="dxa" w:w="2592"/>
          </w:tcPr>
          <w:p>
            <w:r>
              <w:t>relative wealth ratio 0.8813, annualized excess return -3.11%/yr (not a public market equivalent), FY2023 to FY2026 (years to 03-31)</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ranked below the selected candidate: 7 of 10 vs 8 of 10 for Cambridge PE benchmark</w:t>
            </w:r>
          </w:p>
        </w:tc>
      </w:tr>
      <w:tr>
        <w:trPr>
          <w:cantSplit/>
        </w:trPr>
        <w:tc>
          <w:tcPr>
            <w:tcW w:type="dxa" w:w="1584"/>
          </w:tcPr>
          <w:p>
            <w:r>
              <w:t>rejected</w:t>
            </w:r>
          </w:p>
        </w:tc>
        <w:tc>
          <w:tcPr>
            <w:tcW w:type="dxa" w:w="2736"/>
          </w:tcPr>
          <w:p>
            <w:r>
              <w:t>MSCI World investable proxy (URTH)</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Cambridge Associates US PE benchmark (score 8 of 10)</w:t>
      </w:r>
    </w:p>
    <w:p>
      <w:r>
        <w:t>Meaningful benchmark by descriptor. No comparison until its series is held. The candidate is selected on its own descriptors. No number is substituted.</w:t>
      </w:r>
    </w:p>
    <w:p>
      <w:r>
        <w:t>Selection recorded 2026-09-04, record 2b5fedd2. Rubric v3.1. The full record hash is 2b5fedd2ceaa09ac45a7ae6fe9549c4a0b9335d9c3b8528373e93d266b05b596.</w:t>
      </w:r>
    </w:p>
    <w:p>
      <w:pPr>
        <w:pStyle w:val="ListBullet"/>
      </w:pPr>
      <w:r>
        <w:t>Strategy match 3 of 3: a private-market index of private equity for a evergreen private equity fund</w:t>
      </w:r>
    </w:p>
    <w:p>
      <w:pPr>
        <w:pStyle w:val="ListBullet"/>
      </w:pPr>
      <w:r>
        <w:t>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w:t>
      </w:r>
    </w:p>
    <w:p>
      <w:pPr>
        <w:pStyle w:val="ListBullet"/>
      </w:pPr>
      <w:r>
        <w:t>Provider independence 2 of 2: provider unaffiliated with the fund (Cambridge Associates): the registry affiliation map ties it to none of the fund's advisers</w:t>
      </w:r>
    </w:p>
    <w:p>
      <w:pPr>
        <w:pStyle w:val="ListBullet"/>
      </w:pPr>
      <w:r>
        <w:t>Data held 0 of 2: licensed series not held (no subscription): the candidate is cited, not computed</w:t>
      </w:r>
    </w:p>
    <w:p>
      <w:pPr>
        <w:pStyle w:val="Heading2"/>
        <w:keepNext/>
      </w:pPr>
      <w:r>
        <w:t>Reference comparison, not the meaningful benchmark: Listed private equity investable proxy (PSP)</w:t>
      </w:r>
    </w:p>
    <w:p>
      <w:r>
        <w:t>Reference comparison on the highest-ranked held public market series: not the meaningful benchmark.</w:t>
      </w:r>
    </w:p>
    <w:p>
      <w:r>
        <w:t>Window 2019-03-31 to 2026-03-31 (clipped: proxy series begins 2018-07-18, 3 fiscal year(s) outside it dropped): fund 13.3%/yr (filed fiscal-year returns) vs the public series 6.02%/yr, KS-PME 1.5919, Direct Alpha 6.87%/yr.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SEC-required comparator: MSCI World Index, held, scored 6 of 10, fails the strategy gate (strategy match 1 of 3). The declaration itself earns no points.</w:t>
      </w:r>
    </w:p>
    <w:p>
      <w:r>
        <w:t>Window 2019-03-31 to 2026-03-31 (clipped: proxy series begins 2018-07-18, 3 fiscal year(s) outside it dropped): fund 13.3%/yr (filed fiscal-year returns) vs MSCI World Index 12.54%/yr, KS-PME 1.0483, Direct Alpha 0.68%/yr.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Declared benchmark: none. cell 5.1: comparison index of the annual report's required performance presentation, no benchmark the fund is managed to.</w:t>
      </w:r>
    </w:p>
    <w:p>
      <w:pPr>
        <w:pStyle w:val="Heading2"/>
        <w:keepNext/>
      </w:pPr>
      <w:r>
        <w:t>Peer comparison (paragraphs (g) and (h)): evergreen private equity cohort</w:t>
      </w:r>
    </w:p>
    <w:p>
      <w:r>
        <w:t>Peers: Hamilton Lane Private Assets Fund, StepStone Private Markets, KKR Private Equity Conglomerate LLC, Ares Private Markets Fund. This is the history of similar investments, not the benchmark, and it is never a public market equivalent.</w:t>
      </w:r>
    </w:p>
    <w:p>
      <w:r>
        <w:t>Window FY2023 to FY2026 (years to 03-31) (4 fiscal-year periods, n=3 peers in every period): fund 9.41%/yr (filed fiscal-year returns) vs the peer composite 12.92%/yr, relative wealth ratio 0.8813, annualized excess return -3.11%/yr. Not a public market equivalent: the peer composite is appraisal-based, constructed by the evaluator and cannot be bought. Disclosure: ratios on appraisal-lagged NAVs are window-sensitive and can be smoothing-flattered.</w:t>
      </w:r>
    </w:p>
    <w:p>
      <w:r>
        <w:t>Alignment: 4 fiscal-year periods with identical start and end dates for every member (2022-03-31 to 2026-03-31), n=3 peers in every period. Member return sources: Hamilton Lane Private Assets Fund: filed fiscal-year returns, StepStone Private Markets: filed fiscal-year returns, Ares Private Markets Fund: filed fiscal-year returns. Excluded from the composite: KKR Private Equity Conglomerate LLC reports calendar years. AMG Pantheon Fund, LLC and the aligned peers report fiscal years to month 03, so it is excluded from the composite and stays in the side-by-side table. 1 of 4 peers excluded.</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AMG Pantheon Fund, LLC</w:t>
            </w:r>
          </w:p>
        </w:tc>
        <w:tc>
          <w:tcPr>
            <w:tcW w:type="dxa" w:w="1498"/>
          </w:tcPr>
          <w:p>
            <w:r>
              <w:t>Hamilton Lane Private Assets Fund</w:t>
            </w:r>
          </w:p>
        </w:tc>
        <w:tc>
          <w:tcPr>
            <w:tcW w:type="dxa" w:w="1498"/>
          </w:tcPr>
          <w:p>
            <w:r>
              <w:t>StepStone Private Markets</w:t>
            </w:r>
          </w:p>
        </w:tc>
        <w:tc>
          <w:tcPr>
            <w:tcW w:type="dxa" w:w="1498"/>
          </w:tcPr>
          <w:p>
            <w:r>
              <w:t>KKR Private Equity Conglomerate LLC</w:t>
            </w:r>
          </w:p>
        </w:tc>
        <w:tc>
          <w:tcPr>
            <w:tcW w:type="dxa" w:w="1498"/>
          </w:tcPr>
          <w:p>
            <w:r>
              <w:t>Ares Private Markets Fund</w:t>
            </w:r>
          </w:p>
        </w:tc>
      </w:tr>
      <w:tr>
        <w:trPr>
          <w:cantSplit/>
        </w:trPr>
        <w:tc>
          <w:tcPr>
            <w:tcW w:type="dxa" w:w="1296"/>
          </w:tcPr>
          <w:p>
            <w:r>
              <w:t>FY2017 (year to 2017-03-31)</w:t>
            </w:r>
          </w:p>
        </w:tc>
        <w:tc>
          <w:tcPr>
            <w:tcW w:type="dxa" w:w="576"/>
          </w:tcPr>
          <w:p>
            <w:r>
              <w:t>1</w:t>
            </w:r>
          </w:p>
        </w:tc>
        <w:tc>
          <w:tcPr>
            <w:tcW w:type="dxa" w:w="1498"/>
          </w:tcPr>
          <w:p>
            <w:r>
              <w:t>14.27%</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FY2018 (year to 2018-03-31)</w:t>
            </w:r>
          </w:p>
        </w:tc>
        <w:tc>
          <w:tcPr>
            <w:tcW w:type="dxa" w:w="576"/>
          </w:tcPr>
          <w:p>
            <w:r>
              <w:t>1</w:t>
            </w:r>
          </w:p>
        </w:tc>
        <w:tc>
          <w:tcPr>
            <w:tcW w:type="dxa" w:w="1498"/>
          </w:tcPr>
          <w:p>
            <w:r>
              <w:t>14.26%</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FY2019 (year to 2019-03-31)</w:t>
            </w:r>
          </w:p>
        </w:tc>
        <w:tc>
          <w:tcPr>
            <w:tcW w:type="dxa" w:w="576"/>
          </w:tcPr>
          <w:p>
            <w:r>
              <w:t>1</w:t>
            </w:r>
          </w:p>
        </w:tc>
        <w:tc>
          <w:tcPr>
            <w:tcW w:type="dxa" w:w="1498"/>
          </w:tcPr>
          <w:p>
            <w:r>
              <w:t>10.11%</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FY2020 (year to 2020-03-31)</w:t>
            </w:r>
          </w:p>
        </w:tc>
        <w:tc>
          <w:tcPr>
            <w:tcW w:type="dxa" w:w="576"/>
          </w:tcPr>
          <w:p>
            <w:r>
              <w:t>1</w:t>
            </w:r>
          </w:p>
        </w:tc>
        <w:tc>
          <w:tcPr>
            <w:tcW w:type="dxa" w:w="1498"/>
          </w:tcPr>
          <w:p>
            <w:r>
              <w:t>4.15%</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FY2021 (year to 2021-03-31)</w:t>
            </w:r>
          </w:p>
        </w:tc>
        <w:tc>
          <w:tcPr>
            <w:tcW w:type="dxa" w:w="576"/>
          </w:tcPr>
          <w:p>
            <w:r>
              <w:t>1</w:t>
            </w:r>
          </w:p>
        </w:tc>
        <w:tc>
          <w:tcPr>
            <w:tcW w:type="dxa" w:w="1498"/>
          </w:tcPr>
          <w:p>
            <w:r>
              <w:t>35.72%</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FY2022 (year to 2022-03-31)</w:t>
            </w:r>
          </w:p>
        </w:tc>
        <w:tc>
          <w:tcPr>
            <w:tcW w:type="dxa" w:w="576"/>
          </w:tcPr>
          <w:p>
            <w:r>
              <w:t>3</w:t>
            </w:r>
          </w:p>
        </w:tc>
        <w:tc>
          <w:tcPr>
            <w:tcW w:type="dxa" w:w="1498"/>
          </w:tcPr>
          <w:p>
            <w:r>
              <w:t>18.36%</w:t>
            </w:r>
          </w:p>
        </w:tc>
        <w:tc>
          <w:tcPr>
            <w:tcW w:type="dxa" w:w="1498"/>
          </w:tcPr>
          <w:p>
            <w:r>
              <w:t>20.77%</w:t>
            </w:r>
          </w:p>
        </w:tc>
        <w:tc>
          <w:tcPr>
            <w:tcW w:type="dxa" w:w="1498"/>
          </w:tcPr>
          <w:p>
            <w:r>
              <w:t>29.43%</w:t>
            </w:r>
          </w:p>
        </w:tc>
        <w:tc>
          <w:tcPr>
            <w:tcW w:type="dxa" w:w="1498"/>
          </w:tcPr>
          <w:p>
            <w:r>
              <w:t>n/a</w:t>
            </w:r>
          </w:p>
        </w:tc>
        <w:tc>
          <w:tcPr>
            <w:tcW w:type="dxa" w:w="1498"/>
          </w:tcPr>
          <w:p>
            <w:r>
              <w:t>n/a</w:t>
            </w:r>
          </w:p>
        </w:tc>
      </w:tr>
      <w:tr>
        <w:trPr>
          <w:cantSplit/>
        </w:trPr>
        <w:tc>
          <w:tcPr>
            <w:tcW w:type="dxa" w:w="1296"/>
          </w:tcPr>
          <w:p>
            <w:r>
              <w:t>FY2023 (year to 2023-03-31)</w:t>
            </w:r>
          </w:p>
        </w:tc>
        <w:tc>
          <w:tcPr>
            <w:tcW w:type="dxa" w:w="576"/>
          </w:tcPr>
          <w:p>
            <w:r>
              <w:t>4</w:t>
            </w:r>
          </w:p>
        </w:tc>
        <w:tc>
          <w:tcPr>
            <w:tcW w:type="dxa" w:w="1498"/>
          </w:tcPr>
          <w:p>
            <w:r>
              <w:t>6.45%</w:t>
            </w:r>
          </w:p>
        </w:tc>
        <w:tc>
          <w:tcPr>
            <w:tcW w:type="dxa" w:w="1498"/>
          </w:tcPr>
          <w:p>
            <w:r>
              <w:t>16.1%</w:t>
            </w:r>
          </w:p>
        </w:tc>
        <w:tc>
          <w:tcPr>
            <w:tcW w:type="dxa" w:w="1498"/>
          </w:tcPr>
          <w:p>
            <w:r>
              <w:t>8.23%</w:t>
            </w:r>
          </w:p>
        </w:tc>
        <w:tc>
          <w:tcPr>
            <w:tcW w:type="dxa" w:w="1498"/>
          </w:tcPr>
          <w:p>
            <w:r>
              <w:t>n/a</w:t>
            </w:r>
          </w:p>
        </w:tc>
        <w:tc>
          <w:tcPr>
            <w:tcW w:type="dxa" w:w="1498"/>
          </w:tcPr>
          <w:p>
            <w:r>
              <w:t>9.27%</w:t>
            </w:r>
          </w:p>
        </w:tc>
      </w:tr>
      <w:tr>
        <w:trPr>
          <w:cantSplit/>
        </w:trPr>
        <w:tc>
          <w:tcPr>
            <w:tcW w:type="dxa" w:w="1296"/>
          </w:tcPr>
          <w:p>
            <w:r>
              <w:t>FY2024 (year to 2024-03-31)</w:t>
            </w:r>
          </w:p>
        </w:tc>
        <w:tc>
          <w:tcPr>
            <w:tcW w:type="dxa" w:w="576"/>
          </w:tcPr>
          <w:p>
            <w:r>
              <w:t>4</w:t>
            </w:r>
          </w:p>
        </w:tc>
        <w:tc>
          <w:tcPr>
            <w:tcW w:type="dxa" w:w="1498"/>
          </w:tcPr>
          <w:p>
            <w:r>
              <w:t>12.08%</w:t>
            </w:r>
          </w:p>
        </w:tc>
        <w:tc>
          <w:tcPr>
            <w:tcW w:type="dxa" w:w="1498"/>
          </w:tcPr>
          <w:p>
            <w:r>
              <w:t>12.68%</w:t>
            </w:r>
          </w:p>
        </w:tc>
        <w:tc>
          <w:tcPr>
            <w:tcW w:type="dxa" w:w="1498"/>
          </w:tcPr>
          <w:p>
            <w:r>
              <w:t>13.79%</w:t>
            </w:r>
          </w:p>
        </w:tc>
        <w:tc>
          <w:tcPr>
            <w:tcW w:type="dxa" w:w="1498"/>
          </w:tcPr>
          <w:p>
            <w:r>
              <w:t>n/a</w:t>
            </w:r>
          </w:p>
        </w:tc>
        <w:tc>
          <w:tcPr>
            <w:tcW w:type="dxa" w:w="1498"/>
          </w:tcPr>
          <w:p>
            <w:r>
              <w:t>17.1%</w:t>
            </w:r>
          </w:p>
        </w:tc>
      </w:tr>
      <w:tr>
        <w:trPr>
          <w:cantSplit/>
        </w:trPr>
        <w:tc>
          <w:tcPr>
            <w:tcW w:type="dxa" w:w="1296"/>
          </w:tcPr>
          <w:p>
            <w:r>
              <w:t>2024</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11.82%</w:t>
            </w:r>
          </w:p>
        </w:tc>
        <w:tc>
          <w:tcPr>
            <w:tcW w:type="dxa" w:w="1498"/>
          </w:tcPr>
          <w:p>
            <w:r>
              <w:t>n/a</w:t>
            </w:r>
          </w:p>
        </w:tc>
      </w:tr>
      <w:tr>
        <w:trPr>
          <w:cantSplit/>
        </w:trPr>
        <w:tc>
          <w:tcPr>
            <w:tcW w:type="dxa" w:w="1296"/>
          </w:tcPr>
          <w:p>
            <w:r>
              <w:t>FY2025 (year to 2025-03-31)</w:t>
            </w:r>
          </w:p>
        </w:tc>
        <w:tc>
          <w:tcPr>
            <w:tcW w:type="dxa" w:w="576"/>
          </w:tcPr>
          <w:p>
            <w:r>
              <w:t>4</w:t>
            </w:r>
          </w:p>
        </w:tc>
        <w:tc>
          <w:tcPr>
            <w:tcW w:type="dxa" w:w="1498"/>
          </w:tcPr>
          <w:p>
            <w:r>
              <w:t>10.07%</w:t>
            </w:r>
          </w:p>
        </w:tc>
        <w:tc>
          <w:tcPr>
            <w:tcW w:type="dxa" w:w="1498"/>
          </w:tcPr>
          <w:p>
            <w:r>
              <w:t>12.59%</w:t>
            </w:r>
          </w:p>
        </w:tc>
        <w:tc>
          <w:tcPr>
            <w:tcW w:type="dxa" w:w="1498"/>
          </w:tcPr>
          <w:p>
            <w:r>
              <w:t>10.76%</w:t>
            </w:r>
          </w:p>
        </w:tc>
        <w:tc>
          <w:tcPr>
            <w:tcW w:type="dxa" w:w="1498"/>
          </w:tcPr>
          <w:p>
            <w:r>
              <w:t>n/a</w:t>
            </w:r>
          </w:p>
        </w:tc>
        <w:tc>
          <w:tcPr>
            <w:tcW w:type="dxa" w:w="1498"/>
          </w:tcPr>
          <w:p>
            <w:r>
              <w:t>19.95%</w:t>
            </w:r>
          </w:p>
        </w:tc>
      </w:tr>
      <w:tr>
        <w:trPr>
          <w:cantSplit/>
        </w:trPr>
        <w:tc>
          <w:tcPr>
            <w:tcW w:type="dxa" w:w="1296"/>
          </w:tcPr>
          <w:p>
            <w:r>
              <w:t>2025</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16.14%</w:t>
            </w:r>
          </w:p>
        </w:tc>
        <w:tc>
          <w:tcPr>
            <w:tcW w:type="dxa" w:w="1498"/>
          </w:tcPr>
          <w:p>
            <w:r>
              <w:t>n/a</w:t>
            </w:r>
          </w:p>
        </w:tc>
      </w:tr>
      <w:tr>
        <w:trPr>
          <w:cantSplit/>
        </w:trPr>
        <w:tc>
          <w:tcPr>
            <w:tcW w:type="dxa" w:w="1296"/>
          </w:tcPr>
          <w:p>
            <w:r>
              <w:t>FY2026 (year to 2026-03-31)</w:t>
            </w:r>
          </w:p>
        </w:tc>
        <w:tc>
          <w:tcPr>
            <w:tcW w:type="dxa" w:w="576"/>
          </w:tcPr>
          <w:p>
            <w:r>
              <w:t>4</w:t>
            </w:r>
          </w:p>
        </w:tc>
        <w:tc>
          <w:tcPr>
            <w:tcW w:type="dxa" w:w="1498"/>
          </w:tcPr>
          <w:p>
            <w:r>
              <w:t>9.1%</w:t>
            </w:r>
          </w:p>
        </w:tc>
        <w:tc>
          <w:tcPr>
            <w:tcW w:type="dxa" w:w="1498"/>
          </w:tcPr>
          <w:p>
            <w:r>
              <w:t>14.6%</w:t>
            </w:r>
          </w:p>
        </w:tc>
        <w:tc>
          <w:tcPr>
            <w:tcW w:type="dxa" w:w="1498"/>
          </w:tcPr>
          <w:p>
            <w:r>
              <w:t>10.47%</w:t>
            </w:r>
          </w:p>
        </w:tc>
        <w:tc>
          <w:tcPr>
            <w:tcW w:type="dxa" w:w="1498"/>
          </w:tcPr>
          <w:p>
            <w:r>
              <w:t>n/a</w:t>
            </w:r>
          </w:p>
        </w:tc>
        <w:tc>
          <w:tcPr>
            <w:tcW w:type="dxa" w:w="1498"/>
          </w:tcPr>
          <w:p>
            <w:r>
              <w:t>9.58%</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7 of 10</w:t>
            </w:r>
          </w:p>
        </w:tc>
        <w:tc>
          <w:tcPr>
            <w:tcW w:type="dxa" w:w="5472"/>
          </w:tcPr>
          <w:p>
            <w:r>
              <w:t>ranked below the selected candidate: 7 of 10 vs 8 of 10 for Cambridge PE benchmark. Criteria: Strategy match 2 of 3: the public-market version of the asset class (listed private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MSCI World investable proxy (URTH)</w:t>
            </w:r>
          </w:p>
        </w:tc>
        <w:tc>
          <w:tcPr>
            <w:tcW w:type="dxa" w:w="1008"/>
          </w:tcPr>
          <w:p>
            <w:r>
              <w:t>6 of 10</w:t>
            </w:r>
          </w:p>
        </w:tc>
        <w:tc>
          <w:tcPr>
            <w:tcW w:type="dxa" w:w="5472"/>
          </w:tcPr>
          <w:p>
            <w:r>
              <w:t>rejected: strategy gate (score 6 of 10 but strategy match 1 of 3). Criteria: Strategy match 1 of 3: adjacent asset class sharing the dominant risk (global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(iShares / MSCI):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casual-dining restaurant group 401(k) plan (~$1.6B, FL).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gating history (no proration or oversubscription event is disclosed in the on-disk documents, but the tendered-versus-accepted amounts per offer are not printed either. Completed-tender dollars establish continuity, not full fills (the completed-tender rule)). The verdict stays partial until they are read from the filings.</w:t>
      </w:r>
    </w:p>
    <w:p>
      <w:pPr>
        <w:pStyle w:val="ListBullet"/>
        <w:keepNext/>
      </w:pPr>
      <w:r>
        <w:t>Early repurchase economics: 2% if held &lt; 1 year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tender-offer fund</w:t>
            </w:r>
          </w:p>
        </w:tc>
        <w:tc>
          <w:tcPr>
            <w:tcW w:type="dxa" w:w="1152"/>
          </w:tcPr>
          <w:p>
            <w:r>
              <w:t>6.1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no proration or oversubscription event is disclosed in the on-disk documents, but the tendered-versus-accepted amounts per offer are not printed either. Completed-tender dollars establish continuity, not full fills (the completed-tender rule)</w:t>
            </w:r>
          </w:p>
        </w:tc>
        <w:tc>
          <w:tcPr>
            <w:tcW w:type="dxa" w:w="1152"/>
          </w:tcPr>
          <w:p>
            <w:r>
              <w:t>3.3</w:t>
            </w:r>
          </w:p>
        </w:tc>
      </w:tr>
      <w:tr>
        <w:trPr>
          <w:cantSplit/>
        </w:trPr>
        <w:tc>
          <w:tcPr>
            <w:tcW w:type="dxa" w:w="2448"/>
          </w:tcPr>
          <w:p>
            <w:r>
              <w:t>Repurchase program status</w:t>
            </w:r>
          </w:p>
        </w:tc>
        <w:tc>
          <w:tcPr>
            <w:tcW w:type="dxa" w:w="5760"/>
          </w:tcPr>
          <w:p>
            <w:r>
              <w:t>active as of 2026-03-31</w:t>
            </w:r>
          </w:p>
        </w:tc>
        <w:tc>
          <w:tcPr>
            <w:tcW w:type="dxa" w:w="1152"/>
          </w:tcPr>
          <w:p>
            <w:r>
              <w:t>3.1</w:t>
            </w:r>
          </w:p>
        </w:tc>
      </w:tr>
      <w:tr>
        <w:trPr>
          <w:cantSplit/>
        </w:trPr>
        <w:tc>
          <w:tcPr>
            <w:tcW w:type="dxa" w:w="2448"/>
          </w:tcPr>
          <w:p>
            <w:r>
              <w:t>Early repurchase fee</w:t>
            </w:r>
          </w:p>
        </w:tc>
        <w:tc>
          <w:tcPr>
            <w:tcW w:type="dxa" w:w="5760"/>
          </w:tcPr>
          <w:p>
            <w:r>
              <w:t>2% if held &lt; 1 year (2.7)</w:t>
            </w:r>
          </w:p>
        </w:tc>
        <w:tc>
          <w:tcPr>
            <w:tcW w:type="dxa" w:w="1152"/>
          </w:tcPr>
          <w:p>
            <w:r>
              <w:t>2.7</w:t>
            </w:r>
          </w:p>
        </w:tc>
      </w:tr>
      <w:tr>
        <w:trPr>
          <w:cantSplit/>
        </w:trPr>
        <w:tc>
          <w:tcPr>
            <w:tcW w:type="dxa" w:w="2448"/>
          </w:tcPr>
          <w:p>
            <w:r>
              <w:t>Fund net assets (for the dollar capacity)</w:t>
            </w:r>
          </w:p>
        </w:tc>
        <w:tc>
          <w:tcPr>
            <w:tcW w:type="dxa" w:w="5760"/>
          </w:tcPr>
          <w:p>
            <w:r>
              <w:t>not on record: aggregate net assets not yet carried into a fact on record. Verification-queue item</w:t>
            </w:r>
          </w:p>
        </w:tc>
        <w:tc>
          <w:tcPr>
            <w:tcW w:type="dxa" w:w="1152"/>
          </w:tcPr>
          <w:p>
            <w:r>
              <w:t>3.6</w:t>
            </w:r>
          </w:p>
        </w:tc>
      </w:tr>
    </w:tbl>
    <w:p>
      <w:pPr>
        <w:pStyle w:val="Heading2"/>
        <w:keepNext/>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Liquidity view, not a fact): tail turnover 20%/yr, active turnover 5%/yr, 9.2% of the position per year = $7.3M/yr, shown beside the filed rate, not blended with it.</w:t>
      </w:r>
    </w:p>
    <w:p>
      <w:r>
        <w:t>Stressed (the filed outflow proxy plus the increment the stress multiples add under stress (tail turnover x2, active turnover x1.5 over the slider assumption)): demand $14.4M/yr = 18.2% of the position. within wrapper capacity (18.2% vs 20%) IF offers are not prorated.</w:t>
      </w:r>
    </w:p>
    <w:p>
      <w:r>
        <w:t>Fund capacity in dollars: not computable, the fund's net assets are not on record (aggregate net assets not yet carried into a fact on record.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turnover assumptions.</w:t>
      </w:r>
    </w:p>
    <w:p>
      <w:pPr>
        <w:pStyle w:val="ListBullet"/>
      </w:pPr>
      <w:r>
        <w:t>Scenario verdict (ILLUSTRATIVE, this plan): conditional. No rung fired: the filed outflow proxy 10.8% and the stressed demand 18.2% of the position per year both stay within the annual wrapper capacity 20% (binding cap 5% per quarter on outstanding shares (3.1), quarterly offers (3.1), program active as of 2026-03-31 (3.1), gating history not on record (3.3)). Per quarter: filed 2.7% and stressed 4.5%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2024-05-01 to 2025-04-30).</w:t>
      </w:r>
    </w:p>
    <w:p>
      <w:pPr>
        <w:pStyle w:val="Heading1"/>
        <w:keepNext/>
      </w:pPr>
      <w:r>
        <w:t>Peer cohort placement</w:t>
      </w:r>
    </w:p>
    <w:p>
      <w:r>
        <w:t>Evidence depth tier: COHORT. Cohort: Evergreen private equity ('40-Act funds + '34-Act conglomerate) (n=5). Membership rationale: Evergreen PE (Pantheon) tender-offer LLC, wrapper and strategy twin of Hamilton Lane Private Assets Fund and StepStone Private Markets.</w:t>
      </w:r>
    </w:p>
    <w:p>
      <w:r>
        <w:t>Cohort placement (evergreen private equity cohort): mgmt fee: 10th percentile of cohort (n=5), below the median of 1.4 | expense ratio (bases differ, see notes): 30th percentile of cohort (n=5), below the median of 3.19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AMG Pantheon Fund, LLC: 1940-Act asset-coverage limits, Ares Private Markets Fund: 1940-Act asset-coverage limits, Hamilton Lane Private Assets Fund: 1940-Act asset-coverage limits, KKR Private Equity Conglomerate LLC: no 1940-Act leverage limits (34-Act conglomerate), StepStone Private Markets: 1940-Act asset-coverage limits]</w:t>
      </w:r>
    </w:p>
    <w:p>
      <w:pPr>
        <w:pStyle w:val="ListBullet"/>
      </w:pPr>
      <w:r>
        <w:t>Caveat: LIQUIDITY-LAW MIX: Rule 23c-3 obligations, discretionary tenders, and repurchase plans give different worst-case exit rights. Cadence numbers alone overstate comparability. [by wrapper type: AMG Pantheon Fund, LLC: board-DISCRETIONARY tender offers (nothing compels the next one), Ares Private Markets Fund: board-DISCRETIONARY tender offers (nothing compels the next one), Hamilton Lane Private Assets Fund: board-DISCRETIONARY tender offers (nothing compels the next one), KKR Private Equity Conglomerate LLC: board-discretionary share repurchases, StepStone Private Markets: board-DISCRETIONARY tender offers (nothing compels the next one)]</w:t>
      </w:r>
    </w:p>
    <w:p>
      <w:pPr>
        <w:pStyle w:val="ListBullet"/>
      </w:pPr>
      <w:r>
        <w:t>Caveat: KKR Private Equity Conglomerate LLC joins under the authorized fallback: its structural twins are Reg D vehicles with no public filings (the roster decisions record, 'The KKR Private Equity Conglomerate LLC ruling'). Cross-wrapper caveats apply.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27, verified 0, computed 11, partial 3, fetched 1, n/a 13, pending 0. 38 of 42 resolved: 27 evidenced, 11 computed, 4 partial, 13 n/a, 0 verified by a person.</w:t>
      </w:r>
    </w:p>
    <w:p>
      <w:r>
        <w:t>Of the 38 resolved cells (structured, extracted-unverified, verified and computed), 38 carry a source document, 38 a section, 27 a verbatim quote (computed cells carry their computation and inputs instead of a quote) and 38 an extractor. 4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 2025-08-01</w:t>
            </w:r>
          </w:p>
        </w:tc>
        <w:tc>
          <w:tcPr>
            <w:tcW w:type="dxa" w:w="4896"/>
          </w:tcPr>
          <w:p>
            <w:r>
              <w:t>accession 0001193125-25-170996</w:t>
            </w:r>
          </w:p>
          <w:p>
            <w:r>
              <w:t>https://www.sec.gov/Archives/edgar/data/1609211/000119312525170996/d36907d424b3.htm</w:t>
            </w:r>
          </w:p>
        </w:tc>
        <w:tc>
          <w:tcPr>
            <w:tcW w:type="dxa" w:w="2592"/>
          </w:tcPr>
          <w:p>
            <w:r>
              <w:t>4.6 (cited as all filings held for the product, 4 held)</w:t>
            </w:r>
          </w:p>
        </w:tc>
      </w:tr>
      <w:tr>
        <w:trPr>
          <w:cantSplit/>
        </w:trPr>
        <w:tc>
          <w:tcPr>
            <w:tcW w:type="dxa" w:w="1872"/>
          </w:tcPr>
          <w:p>
            <w:r>
              <w:t>* 2026-06-09</w:t>
            </w:r>
          </w:p>
        </w:tc>
        <w:tc>
          <w:tcPr>
            <w:tcW w:type="dxa" w:w="4896"/>
          </w:tcPr>
          <w:p>
            <w:r>
              <w:t>accession 0001193125-26-264017</w:t>
            </w:r>
          </w:p>
          <w:p>
            <w:r>
              <w:t>https://www.sec.gov/Archives/edgar/data/1609211/000119312526264017/d138225dncsr.htm</w:t>
            </w:r>
          </w:p>
        </w:tc>
        <w:tc>
          <w:tcPr>
            <w:tcW w:type="dxa" w:w="2592"/>
          </w:tcPr>
          <w:p>
            <w:r>
              <w:t>4.6 (cited as all filings held for the product, 4 held)</w:t>
            </w:r>
          </w:p>
        </w:tc>
      </w:tr>
      <w:tr>
        <w:trPr>
          <w:cantSplit/>
        </w:trPr>
        <w:tc>
          <w:tcPr>
            <w:tcW w:type="dxa" w:w="1872"/>
          </w:tcPr>
          <w:p>
            <w:r>
              <w:t>N-CSR 2026-06-09</w:t>
            </w:r>
          </w:p>
        </w:tc>
        <w:tc>
          <w:tcPr>
            <w:tcW w:type="dxa" w:w="4896"/>
          </w:tcPr>
          <w:p>
            <w:r>
              <w:t>accession 0001193125-26-264017</w:t>
            </w:r>
          </w:p>
          <w:p>
            <w:r>
              <w:t>https://www.sec.gov/Archives/edgar/data/1609211/000119312526264017/d138225dncsr.htm</w:t>
            </w:r>
          </w:p>
        </w:tc>
        <w:tc>
          <w:tcPr>
            <w:tcW w:type="dxa" w:w="2592"/>
          </w:tcPr>
          <w:p>
            <w:r>
              <w:t>1.1, 1.2, 1.3, 1.4, 1.11, 2.1, 2.3, 2.5, 2.6, 2.7, 3.3, 3.4, 3.6, 4.1, 4.2, 4.3, 4.4, 4.5, 5.1, 6.1, 6.2, 6.3, 6.4, 6.5</w:t>
            </w:r>
          </w:p>
        </w:tc>
      </w:tr>
      <w:tr>
        <w:trPr>
          <w:cantSplit/>
        </w:trPr>
        <w:tc>
          <w:tcPr>
            <w:tcW w:type="dxa" w:w="1872"/>
          </w:tcPr>
          <w:p>
            <w:r>
              <w:t>* 2026-07-30</w:t>
            </w:r>
          </w:p>
        </w:tc>
        <w:tc>
          <w:tcPr>
            <w:tcW w:type="dxa" w:w="4896"/>
          </w:tcPr>
          <w:p>
            <w:r>
              <w:t>accession 0000950130-26-000196</w:t>
            </w:r>
          </w:p>
          <w:p>
            <w:r>
              <w:t>https://www.sec.gov/Archives/edgar/data/1609211/000095013026000196/d155376dn2.htm</w:t>
            </w:r>
          </w:p>
        </w:tc>
        <w:tc>
          <w:tcPr>
            <w:tcW w:type="dxa" w:w="2592"/>
          </w:tcPr>
          <w:p>
            <w:r>
              <w:t>4.6 (cited as all filings held for the product, 4 held)</w:t>
            </w:r>
          </w:p>
        </w:tc>
      </w:tr>
      <w:tr>
        <w:trPr>
          <w:cantSplit/>
        </w:trPr>
        <w:tc>
          <w:tcPr>
            <w:tcW w:type="dxa" w:w="1872"/>
          </w:tcPr>
          <w:p>
            <w:r>
              <w:t>N-2 2026-07-30</w:t>
            </w:r>
          </w:p>
        </w:tc>
        <w:tc>
          <w:tcPr>
            <w:tcW w:type="dxa" w:w="4896"/>
          </w:tcPr>
          <w:p>
            <w:r>
              <w:t>accession 0000950130-26-000196</w:t>
            </w:r>
          </w:p>
          <w:p>
            <w:r>
              <w:t>https://www.sec.gov/Archives/edgar/data/1609211/000095013026000196/d155376dn2.htm</w:t>
            </w:r>
          </w:p>
        </w:tc>
        <w:tc>
          <w:tcPr>
            <w:tcW w:type="dxa" w:w="2592"/>
          </w:tcPr>
          <w:p>
            <w:r>
              <w:t>1.1, 1.4, 1.11, 2.1 (matched by form only), 2.2, 2.3, 2.4, 2.5, 2.6, 2.7, 3.1, 3.2, 3.6, 4.1, 4.3, 6.2, 6.3, 6.5</w:t>
            </w:r>
          </w:p>
        </w:tc>
      </w:tr>
      <w:tr>
        <w:trPr>
          <w:cantSplit/>
        </w:trPr>
        <w:tc>
          <w:tcPr>
            <w:tcW w:type="dxa" w:w="1872"/>
          </w:tcPr>
          <w:p>
            <w:r>
              <w:t>* 2026-08-03</w:t>
            </w:r>
          </w:p>
        </w:tc>
        <w:tc>
          <w:tcPr>
            <w:tcW w:type="dxa" w:w="4896"/>
          </w:tcPr>
          <w:p>
            <w:r>
              <w:t>accession 0001193125-26-329591</w:t>
            </w:r>
          </w:p>
          <w:p>
            <w:r>
              <w:t>https://www.sec.gov/Archives/edgar/data/1609211/000119312526329591/d129441dsctoi.htm</w:t>
            </w:r>
          </w:p>
        </w:tc>
        <w:tc>
          <w:tcPr>
            <w:tcW w:type="dxa" w:w="2592"/>
          </w:tcPr>
          <w:p>
            <w:r>
              <w:t>4.6 (cited as all filings held for the product, 4 held)</w:t>
            </w:r>
          </w:p>
        </w:tc>
      </w:tr>
      <w:tr>
        <w:trPr>
          <w:cantSplit/>
        </w:trPr>
        <w:tc>
          <w:tcPr>
            <w:tcW w:type="dxa" w:w="1872"/>
          </w:tcPr>
          <w:p>
            <w:r>
              <w:t>SC TO-I 2026-08-03</w:t>
            </w:r>
          </w:p>
        </w:tc>
        <w:tc>
          <w:tcPr>
            <w:tcW w:type="dxa" w:w="4896"/>
          </w:tcPr>
          <w:p>
            <w:r>
              <w:t>accession 0001193125-26-329591</w:t>
            </w:r>
          </w:p>
          <w:p>
            <w:r>
              <w:t>https://www.sec.gov/Archives/edgar/data/1609211/000119312526329591/d129441dsctoi.htm</w:t>
            </w:r>
          </w:p>
        </w:tc>
        <w:tc>
          <w:tcPr>
            <w:tcW w:type="dxa" w:w="2592"/>
          </w:tcPr>
          <w:p>
            <w:r>
              <w:t>3.1, 3.2, 3.3, 6.1, 6.5</w:t>
            </w:r>
          </w:p>
        </w:tc>
      </w:tr>
    </w:tbl>
    <w:p>
      <w:pPr>
        <w:keepNext/>
      </w:pPr>
      <w:r>
        <w:t>Cells whose reference does not resolve to a manifest row:</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2024-05-01 to 2025-04-30, shown under the plan's anonymized label.</w:t>
      </w:r>
    </w:p>
    <w:p>
      <w:r>
        <w:t>Data sources: SEC EDGAR filings (4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casual-dining restaurant group 401(k) plan (~$1.6B, FL). AMG Pantheon Fund,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AMG Pantheon Fund, LLC for US casual-dining restaurant group 401(k) plan (~$1.6B, FL)</dc:title>
  <dc:subject>Fiduciary Duties in Selecting Designated Investment Alternatives, 91 FR 16088 (Mar. 31, 2026), RIN 1210-AC38, proposed 29 CFR 2550.404a-6, paragraphs (g) to (l)</dc:subject>
  <dc:creator>Tark</dc:creator>
  <cp:keywords>amg_pantheon, plan_restaurant_hourly,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