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Ares Private Markets Fund (tender-offer fund ('40 Act), CIK 1876006).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casual-dining restaurant group 401(k) plan (~$1.6B, FL)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1.0918 vs the equal-weight peer composite over FY2023 to FY2026 (years to 03-31) (n=3), not a benchmark and not a PME.</w:t>
      </w:r>
    </w:p>
    <w:p>
      <w:r>
        <w:t>Reference comparison, not the meaningful benchmark: Listed private equity investable proxy (PSP), KS-PME 1.5712, Direct Alpha 11.97%/yr over 2022-04-01 to 2026-03-31.</w:t>
      </w:r>
    </w:p>
    <w:p>
      <w:r>
        <w:t>Evidence coverage: 39 of 42 resolved: 28 evidenced, 11 computed, 3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4 years of history since 2022-04-01 (cell 1.11), a KS-PME of 1.5712 against PSP (cell 1.8) and a relative wealth ratio of 1.0918 against the peer composite (cell 1.12).</w:t>
            </w:r>
          </w:p>
          <w:p>
            <w:r>
              <w:t>Facts on record: 1.8 KS-PME 1.57 vs PSP (reference, not the benchmark). 1.11 inception 2022-04-01, 4 years. 1.12 peer relative wealth ratio 1.09, not a benchmark.</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1.12 Peer comparison (paragraphs (g) and (h)) (computed): Peer comparison (paragraphs (g) and (h)): evergreen private equity cohort, peers Hamilton Lane Private Assets Fund, StepStone Private Markets, KKR Private Equity Conglomerate LLC, AMG Pantheon Fund, LLC, fund return basis filed fiscal-year returns.</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rPr>
          <w:cantSplit/>
        </w:trPr>
        <w:tc>
          <w:tcPr>
            <w:tcW w:type="dxa" w:w="1728"/>
          </w:tcPr>
          <w:p>
            <w:r>
              <w:t>2. Fees (h)</w:t>
            </w:r>
          </w:p>
        </w:tc>
        <w:tc>
          <w:tcPr>
            <w:tcW w:type="dxa" w:w="7632"/>
          </w:tcPr>
          <w:p>
            <w:r>
              <w:t>On fees and expenses (h), the management fee is 1.40% on managed assets (leverage-inclusive) (cell 2.1), the incentive fee is 12.5% (cell 2.2), the expense ratio is 5.02% (gross, before a 0.03% waiver, including the 1.60% incentive-fee drag, AFFE excluded (FY2026, Class I)) (cell 2.3) and the early repurchase fee is 2% &lt; 1 year (cell 2.7).</w:t>
            </w:r>
          </w:p>
          <w:p>
            <w:r>
              <w:t>Facts on record: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a leverage-inclusive base: total assets (including assets attributable to borrowings/indebtedness/preferred) minus liabilities OTHER than borrowing-related liabilities,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net assets, the repurchase program is active as of 2026-03-31 (cell 3.1), the plan's filed outflow proxy is 10.8% of the position per year (the plan record) and the structural verdict is partial with the scenario verdict conditional under this plan (ILLUSTRATIVE, cell 3.9).</w:t>
            </w:r>
          </w:p>
          <w:p>
            <w:r>
              <w:t>Facts on record: 3.1 quarterly dealing, 5% cap per quarter on net assets. 3.9 structural verdict partial,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Ernst &amp; Young LLP (Big 4) (cell 4.5).</w:t>
            </w:r>
          </w:p>
          <w:p>
            <w:r>
              <w:t>Facts on record: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 Private Markets Fund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Broad-based comparison index in the FY2026 shareholder report: MSCI World Index,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2022-04-01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6.1), tax reporting is Form 1099 (cell 6.4) and cells 6.6 and 6.8 are advisor-completed under paragraph (l).</w:t>
            </w:r>
          </w:p>
          <w:p>
            <w:r>
              <w:t>Facts on record: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Ares Capital Management II LLC, 245 Park Avenue, 44th Floor, New York, NY (wholly owned subsidiary of Ares Management Corporation).</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12.5%</w:t>
            </w:r>
          </w:p>
        </w:tc>
        <w:tc>
          <w:tcPr>
            <w:tcW w:type="dxa" w:w="2880"/>
          </w:tcPr>
          <w:p>
            <w:r>
              <w:t>extracted-unverified</w:t>
            </w:r>
          </w:p>
        </w:tc>
      </w:tr>
      <w:tr>
        <w:trPr>
          <w:cantSplit/>
        </w:trPr>
        <w:tc>
          <w:tcPr>
            <w:tcW w:type="dxa" w:w="2880"/>
          </w:tcPr>
          <w:p>
            <w:r>
              <w:t>2.3 Total expense ratio &amp; waivers</w:t>
            </w:r>
          </w:p>
        </w:tc>
        <w:tc>
          <w:tcPr>
            <w:tcW w:type="dxa" w:w="3600"/>
          </w:tcPr>
          <w:p>
            <w:r>
              <w:t>5.02% expense ratio, gross, before a 0.03% waiver, including the 1.60% incentive-fee drag, AFFE excluded (FY2026, Class I)</w:t>
            </w:r>
          </w:p>
        </w:tc>
        <w:tc>
          <w:tcPr>
            <w:tcW w:type="dxa" w:w="2880"/>
          </w:tcPr>
          <w:p>
            <w:r>
              <w:t>extracted-unverified</w:t>
            </w:r>
          </w:p>
        </w:tc>
      </w:tr>
      <w:tr>
        <w:trPr>
          <w:cantSplit/>
        </w:trPr>
        <w:tc>
          <w:tcPr>
            <w:tcW w:type="dxa" w:w="2880"/>
          </w:tcPr>
          <w:p>
            <w:r>
              <w:t>2.4 AFFE</w:t>
            </w:r>
          </w:p>
        </w:tc>
        <w:tc>
          <w:tcPr>
            <w:tcW w:type="dxa" w:w="3600"/>
          </w:tcPr>
          <w:p>
            <w:r>
              <w:t>AFFE 1.00%</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1.5712, Direct Alpha 11.97%/yr, 2022-04-01 to 2026-03-31</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1.1283, Direct Alpha 3.07%/yr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1.0918, annualized excess return 2.22%/yr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5b383023. Rubric v3.1. The full record hash is 5b38302348a776c67692d90414e1c29678a70fa971d3c43feda1c256d9c3a01a.</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2022-04-01 to 2026-03-31: fund 13.89%/yr (filed fiscal-year returns) vs the public series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MSCI World Index, held, scored 6 of 10, fails the strategy gate (strategy match 1 of 3). The declaration itself earns no points.</w:t>
      </w:r>
    </w:p>
    <w:p>
      <w:r>
        <w:t>Window 2022-04-01 to 2026-03-31: fund 13.89%/yr (filed fiscal-year returns) vs MSCI World Index 10.5%/yr, KS-PME 1.1283, Direct Alpha 3.07%/yr.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broad-based comparison index of the shareholder report's required presentation, no benchmark the fund is managed to.</w:t>
      </w:r>
    </w:p>
    <w:p>
      <w:pPr>
        <w:pStyle w:val="Heading2"/>
        <w:keepNext/>
      </w:pPr>
      <w:r>
        <w:t>Peer comparison (paragraphs (g) and (h)): evergreen private equity cohort</w:t>
      </w:r>
    </w:p>
    <w:p>
      <w:r>
        <w:t>Peers: Hamilton Lane Private Assets Fund, StepStone Private Markets, KKR Private Equity Conglomerate LLC, AMG Pantheon Fund, LLC. This is the history of similar investments, not the benchmark, and it is never a public market equivalent.</w:t>
      </w:r>
    </w:p>
    <w:p>
      <w:r>
        <w:t>Window FY2023 to FY2026 (years to 03-31) (4 fiscal-year periods, n=3 peers in every period): fund 13.88%/yr (filed fiscal-year returns) vs the peer composite 11.41%/yr, relative wealth ratio 1.0918, annualized excess return 2.22%/yr.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StepStone Private Markets: filed fiscal-year returns, AMG Pantheon Fund, LLC: filed fiscal-year returns. Excluded from the composite: KKR Private Equity Conglomerate LLC reports calendar years. Ares Private Markets Fund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Ares Private Markets Fund</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n/a</w:t>
            </w:r>
          </w:p>
        </w:tc>
        <w:tc>
          <w:tcPr>
            <w:tcW w:type="dxa" w:w="1498"/>
          </w:tcPr>
          <w:p>
            <w:r>
              <w:t>20.77%</w:t>
            </w:r>
          </w:p>
        </w:tc>
        <w:tc>
          <w:tcPr>
            <w:tcW w:type="dxa" w:w="1498"/>
          </w:tcPr>
          <w:p>
            <w:r>
              <w:t>29.43%</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9.27%</w:t>
            </w:r>
          </w:p>
        </w:tc>
        <w:tc>
          <w:tcPr>
            <w:tcW w:type="dxa" w:w="1498"/>
          </w:tcPr>
          <w:p>
            <w:r>
              <w:t>16.1%</w:t>
            </w:r>
          </w:p>
        </w:tc>
        <w:tc>
          <w:tcPr>
            <w:tcW w:type="dxa" w:w="1498"/>
          </w:tcPr>
          <w:p>
            <w:r>
              <w:t>8.23%</w:t>
            </w:r>
          </w:p>
        </w:tc>
        <w:tc>
          <w:tcPr>
            <w:tcW w:type="dxa" w:w="1498"/>
          </w:tcPr>
          <w:p>
            <w:r>
              <w:t>n/a</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17.1%</w:t>
            </w:r>
          </w:p>
        </w:tc>
        <w:tc>
          <w:tcPr>
            <w:tcW w:type="dxa" w:w="1498"/>
          </w:tcPr>
          <w:p>
            <w:r>
              <w:t>12.68%</w:t>
            </w:r>
          </w:p>
        </w:tc>
        <w:tc>
          <w:tcPr>
            <w:tcW w:type="dxa" w:w="1498"/>
          </w:tcPr>
          <w:p>
            <w:r>
              <w:t>13.79%</w:t>
            </w:r>
          </w:p>
        </w:tc>
        <w:tc>
          <w:tcPr>
            <w:tcW w:type="dxa" w:w="1498"/>
          </w:tcPr>
          <w:p>
            <w:r>
              <w:t>n/a</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11.82%</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19.95%</w:t>
            </w:r>
          </w:p>
        </w:tc>
        <w:tc>
          <w:tcPr>
            <w:tcW w:type="dxa" w:w="1498"/>
          </w:tcPr>
          <w:p>
            <w:r>
              <w:t>12.59%</w:t>
            </w:r>
          </w:p>
        </w:tc>
        <w:tc>
          <w:tcPr>
            <w:tcW w:type="dxa" w:w="1498"/>
          </w:tcPr>
          <w:p>
            <w:r>
              <w:t>10.76%</w:t>
            </w:r>
          </w:p>
        </w:tc>
        <w:tc>
          <w:tcPr>
            <w:tcW w:type="dxa" w:w="1498"/>
          </w:tcPr>
          <w:p>
            <w:r>
              <w:t>n/a</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16.14%</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9.58%</w:t>
            </w:r>
          </w:p>
        </w:tc>
        <w:tc>
          <w:tcPr>
            <w:tcW w:type="dxa" w:w="1498"/>
          </w:tcPr>
          <w:p>
            <w:r>
              <w:t>14.6%</w:t>
            </w:r>
          </w:p>
        </w:tc>
        <w:tc>
          <w:tcPr>
            <w:tcW w:type="dxa" w:w="1498"/>
          </w:tcPr>
          <w:p>
            <w:r>
              <w:t>10.47%</w:t>
            </w:r>
          </w:p>
        </w:tc>
        <w:tc>
          <w:tcPr>
            <w:tcW w:type="dxa" w:w="1498"/>
          </w:tcPr>
          <w:p>
            <w:r>
              <w:t>n/a</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gating history (tendered-versus-accepted amounts and proration incidence per offer are not printed (final tender amendments not on disk). Four offers in each of FY2025 and FY2026 establish continuity, not full fills (the completed-tender rule)).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6.1</w:t>
            </w:r>
          </w:p>
        </w:tc>
      </w:tr>
      <w:tr>
        <w:trPr>
          <w:cantSplit/>
        </w:trPr>
        <w:tc>
          <w:tcPr>
            <w:tcW w:type="dxa" w:w="2448"/>
          </w:tcPr>
          <w:p>
            <w:r>
              <w:t>Dealing terms</w:t>
            </w:r>
          </w:p>
        </w:tc>
        <w:tc>
          <w:tcPr>
            <w:tcW w:type="dxa" w:w="5760"/>
          </w:tcPr>
          <w:p>
            <w:r>
              <w:t>quarterly offers, 5% cap per quarter on net assets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tendered-versus-accepted amounts and proration incidence per offer are not printed (final tender amendments not on disk). Four offers in each of FY2025 and FY2026 establish continuity, not full fills (the completed-tender rule)</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10.8% and the stressed demand 18.2% of the position per year both stay within the annual wrapper capacity 20% (binding cap 5% per quarter on net assets (3.1), quarterly offers (3.1), program active as of 2026-03-31 (3.1), gating history not on record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COHORT. Cohort: Evergreen private equity ('40-Act funds + '34-Act conglomerate) (n=5). Membership rationale: Secondaries-led evergreen PE tender-offer fund, wrapper and strategy twin of Hamilton Lane Private Assets Fund and StepStone Private Markets.</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28, verified 0, computed 11, partial 2, fetched 1, n/a 13, pending 0. 39 of 42 resolved: 28 evidenced, 11 computed, 3 partial, 13 n/a, 0 verified by a person.</w:t>
      </w:r>
    </w:p>
    <w:p>
      <w:r>
        <w:t>Of the 39 resolved cells (structured, extracted-unverified, verified and computed), 39 carry a source document, 39 a section, 28 a verbatim quote (computed cells carry their computation and inputs instead of a quote) and 39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2026-06-01</w:t>
            </w:r>
          </w:p>
        </w:tc>
        <w:tc>
          <w:tcPr>
            <w:tcW w:type="dxa" w:w="4896"/>
          </w:tcPr>
          <w:p>
            <w:r>
              <w:t>accession 0001104659-26-068976</w:t>
            </w:r>
          </w:p>
          <w:p>
            <w:r>
              <w:t>https://www.sec.gov/Archives/edgar/data/1876006/000110465926068976/tm2616081d1_sctoi.htm</w:t>
            </w:r>
          </w:p>
        </w:tc>
        <w:tc>
          <w:tcPr>
            <w:tcW w:type="dxa" w:w="2592"/>
          </w:tcPr>
          <w:p>
            <w:r>
              <w:t>4.3 (cited as all filings held for the product, 4 held)</w:t>
            </w:r>
          </w:p>
        </w:tc>
      </w:tr>
      <w:tr>
        <w:trPr>
          <w:cantSplit/>
        </w:trPr>
        <w:tc>
          <w:tcPr>
            <w:tcW w:type="dxa" w:w="1872"/>
          </w:tcPr>
          <w:p>
            <w:r>
              <w:t>SC TO-I 2026-06-01</w:t>
            </w:r>
          </w:p>
        </w:tc>
        <w:tc>
          <w:tcPr>
            <w:tcW w:type="dxa" w:w="4896"/>
          </w:tcPr>
          <w:p>
            <w:r>
              <w:t>accession 0001104659-26-068976</w:t>
            </w:r>
          </w:p>
          <w:p>
            <w:r>
              <w:t>https://www.sec.gov/Archives/edgar/data/1876006/000110465926068976/tm2616081d1_sctoi.htm</w:t>
            </w:r>
          </w:p>
        </w:tc>
        <w:tc>
          <w:tcPr>
            <w:tcW w:type="dxa" w:w="2592"/>
          </w:tcPr>
          <w:p>
            <w:r>
              <w:t>1.1, 2.7, 3.1, 3.2, 6.5</w:t>
            </w:r>
          </w:p>
        </w:tc>
      </w:tr>
      <w:tr>
        <w:trPr>
          <w:cantSplit/>
        </w:trPr>
        <w:tc>
          <w:tcPr>
            <w:tcW w:type="dxa" w:w="1872"/>
          </w:tcPr>
          <w:p>
            <w:r>
              <w:t>* 2026-06-04</w:t>
            </w:r>
          </w:p>
        </w:tc>
        <w:tc>
          <w:tcPr>
            <w:tcW w:type="dxa" w:w="4896"/>
          </w:tcPr>
          <w:p>
            <w:r>
              <w:t>accession 0001104659-26-070502</w:t>
            </w:r>
          </w:p>
          <w:p>
            <w:r>
              <w:t>https://www.sec.gov/Archives/edgar/data/1876006/000110465926070502/tm2616743d1_424b3.htm</w:t>
            </w:r>
          </w:p>
        </w:tc>
        <w:tc>
          <w:tcPr>
            <w:tcW w:type="dxa" w:w="2592"/>
          </w:tcPr>
          <w:p>
            <w:r>
              <w:t>4.3 (cited as all filings held for the product, 4 held)</w:t>
            </w:r>
          </w:p>
        </w:tc>
      </w:tr>
      <w:tr>
        <w:trPr>
          <w:cantSplit/>
        </w:trPr>
        <w:tc>
          <w:tcPr>
            <w:tcW w:type="dxa" w:w="1872"/>
          </w:tcPr>
          <w:p>
            <w:r>
              <w:t>* 2026-06-04</w:t>
            </w:r>
          </w:p>
        </w:tc>
        <w:tc>
          <w:tcPr>
            <w:tcW w:type="dxa" w:w="4896"/>
          </w:tcPr>
          <w:p>
            <w:r>
              <w:t>accession 0001104659-26-070470</w:t>
            </w:r>
          </w:p>
          <w:p>
            <w:r>
              <w:t>https://www.sec.gov/Archives/edgar/data/1876006/000110465926070470/tm2616630d1_ncsr.htm</w:t>
            </w:r>
          </w:p>
        </w:tc>
        <w:tc>
          <w:tcPr>
            <w:tcW w:type="dxa" w:w="2592"/>
          </w:tcPr>
          <w:p>
            <w:r>
              <w:t>4.3 (cited as all filings held for the product, 4 held)</w:t>
            </w:r>
          </w:p>
        </w:tc>
      </w:tr>
      <w:tr>
        <w:trPr>
          <w:cantSplit/>
        </w:trPr>
        <w:tc>
          <w:tcPr>
            <w:tcW w:type="dxa" w:w="1872"/>
          </w:tcPr>
          <w:p>
            <w:r>
              <w:t>424B3 2026-06-04</w:t>
            </w:r>
          </w:p>
        </w:tc>
        <w:tc>
          <w:tcPr>
            <w:tcW w:type="dxa" w:w="4896"/>
          </w:tcPr>
          <w:p>
            <w:r>
              <w:t>accession 0001104659-26-070502</w:t>
            </w:r>
          </w:p>
          <w:p>
            <w:r>
              <w:t>https://www.sec.gov/Archives/edgar/data/1876006/000110465926070502/tm2616743d1_424b3.htm</w:t>
            </w:r>
          </w:p>
        </w:tc>
        <w:tc>
          <w:tcPr>
            <w:tcW w:type="dxa" w:w="2592"/>
          </w:tcPr>
          <w:p>
            <w:r>
              <w:t>1.11</w:t>
            </w:r>
          </w:p>
        </w:tc>
      </w:tr>
      <w:tr>
        <w:trPr>
          <w:cantSplit/>
        </w:trPr>
        <w:tc>
          <w:tcPr>
            <w:tcW w:type="dxa" w:w="1872"/>
          </w:tcPr>
          <w:p>
            <w:r>
              <w:t>N-CSR 2026-06-04</w:t>
            </w:r>
          </w:p>
        </w:tc>
        <w:tc>
          <w:tcPr>
            <w:tcW w:type="dxa" w:w="4896"/>
          </w:tcPr>
          <w:p>
            <w:r>
              <w:t>accession 0001104659-26-070470</w:t>
            </w:r>
          </w:p>
          <w:p>
            <w:r>
              <w:t>https://www.sec.gov/Archives/edgar/data/1876006/000110465926070470/tm2616630d1_ncsr.htm</w:t>
            </w:r>
          </w:p>
        </w:tc>
        <w:tc>
          <w:tcPr>
            <w:tcW w:type="dxa" w:w="2592"/>
          </w:tcPr>
          <w:p>
            <w:r>
              <w:t>1.1, 1.2, 1.3, 1.4, 1.11, 2.1, 2.2, 2.3, 2.6, 2.7, 3.1, 3.3, 3.4, 3.6, 4.1, 4.2, 4.4, 4.5, 4.6, 5.1, 6.1, 6.2, 6.3, 6.4, 6.5</w:t>
            </w:r>
          </w:p>
        </w:tc>
      </w:tr>
      <w:tr>
        <w:trPr>
          <w:cantSplit/>
        </w:trPr>
        <w:tc>
          <w:tcPr>
            <w:tcW w:type="dxa" w:w="1872"/>
          </w:tcPr>
          <w:p>
            <w:r>
              <w:t>* 2026-07-29</w:t>
            </w:r>
          </w:p>
        </w:tc>
        <w:tc>
          <w:tcPr>
            <w:tcW w:type="dxa" w:w="4896"/>
          </w:tcPr>
          <w:p>
            <w:r>
              <w:t>accession 0001104659-26-088219</w:t>
            </w:r>
          </w:p>
          <w:p>
            <w:r>
              <w:t>https://www.sec.gov/Archives/edgar/data/1876006/000110465926088219/tm2621209d1_486bpos.htm</w:t>
            </w:r>
          </w:p>
        </w:tc>
        <w:tc>
          <w:tcPr>
            <w:tcW w:type="dxa" w:w="2592"/>
          </w:tcPr>
          <w:p>
            <w:r>
              <w:t>4.3 (cited as all filings held for the product, 4 held)</w:t>
            </w:r>
          </w:p>
        </w:tc>
      </w:tr>
      <w:tr>
        <w:trPr>
          <w:cantSplit/>
        </w:trPr>
        <w:tc>
          <w:tcPr>
            <w:tcW w:type="dxa" w:w="1872"/>
          </w:tcPr>
          <w:p>
            <w:r>
              <w:t>486BPOS 2026-07-29</w:t>
            </w:r>
          </w:p>
        </w:tc>
        <w:tc>
          <w:tcPr>
            <w:tcW w:type="dxa" w:w="4896"/>
          </w:tcPr>
          <w:p>
            <w:r>
              <w:t>accession 0001104659-26-088219</w:t>
            </w:r>
          </w:p>
          <w:p>
            <w:r>
              <w:t>https://www.sec.gov/Archives/edgar/data/1876006/000110465926088219/tm2621209d1_486bpos.htm</w:t>
            </w:r>
          </w:p>
        </w:tc>
        <w:tc>
          <w:tcPr>
            <w:tcW w:type="dxa" w:w="2592"/>
          </w:tcPr>
          <w:p>
            <w:r>
              <w:t>1.11, 2.1, 2.2, 2.3, 2.4, 2.5, 2.6, 2.7, 3.1, 3.6, 4.1, 4.3, 4.4, 4.5, 6.1, 6.2, 6.3, 6.4, 6.5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Ares Private Markets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Ares Private Markets Fund for US casual-dining restaurant group 401(k) plan (~$1.6B, FL)</dc:title>
  <dc:subject>Fiduciary Duties in Selecting Designated Investment Alternatives, 91 FR 16088 (Mar. 31, 2026), RIN 1210-AC38, proposed 29 CFR 2550.404a-6, paragraphs (g) to (l)</dc:subject>
  <dc:creator>Tark</dc:creator>
  <cp:keywords>ares_pmf,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