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Blackstone Private Credit Fund (non-traded BDC ('34 Act reporting, continuous offering), CIK 1803498). </w:t>
      </w:r>
      <w:r>
        <w:t>Date: 2026-09-04. Status: DRAFT until the committee signs page one. Cells marked extracted-unverified pend independent verification.</w:t>
      </w:r>
    </w:p>
    <w:p>
      <w:pPr>
        <w:pStyle w:val="Heading1"/>
        <w:keepNext/>
      </w:pPr>
      <w:r>
        <w:t>Decision summary</w:t>
      </w:r>
    </w:p>
    <w:p>
      <w:r>
        <w:t>Structural liquidity verdict: CONDITIONAL-WEAK (dealing terms on record, plan-independent). Scenario verdict under US casual-dining restaurant group 401(k) plan (~$1.6B, FL) (ILLUSTRATIVE): CONDITIONAL.</w:t>
      </w:r>
    </w:p>
    <w:p>
      <w:r>
        <w:t>Meaningful benchmark (paragraph (k)): Cliffwater Direct Lending Index (CDLI) at 7 of 10, cited, series not in the record. Meaningful benchmark by descriptor. No comparison until its series is held. Peer comparison (paragraphs (g) and (h)): relative wealth ratio 1.0986 vs the equal-weight peer composite over 2021 to 2025 (n=4), not a benchmark and not a PME.</w:t>
      </w:r>
    </w:p>
    <w:p>
      <w:r>
        <w:t>Reference comparison, not the meaningful benchmark: Senior loan investable proxy (BKLN, for Morningstar LSTA class), KS-PME 1.2378, Direct Alpha 4.38%/yr over 2021-01-07 to 2025-12-31.</w:t>
      </w:r>
    </w:p>
    <w:p>
      <w:r>
        <w:t>Evidence coverage: 37 of 42 resolved: 26 evidenced, 11 computed, 5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gating precedent, repurchases prorated under stress (cell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 years of history since 2021-01-07 (cell 1.11), a KS-PME of 1.2378 against BKLN (cell 1.8) and a relative wealth ratio of 1.0986 against the peer composite (cell 1.12).</w:t>
            </w:r>
          </w:p>
          <w:p>
            <w:r>
              <w:t>Facts on record: 1.8 KS-PME 1.24 vs BKLN (reference, not the benchmark). 1.11 inception 2021-01-07, 5 years. 1.12 peer relative wealth ratio 1.10, not a benchmark.</w:t>
            </w:r>
          </w:p>
          <w:p>
            <w:r>
              <w:t>1.1 Net total return series (extracted-unverified): Printed NAV-based net total return series, Class I: FY2021 12.6%, FY2022 3.6%, FY2023 14.4%, FY2024 11.0%, FY2025 8.0% (10-K Note 10), H1-2026 0.2% (10-Q).</w:t>
            </w:r>
          </w:p>
          <w:p>
            <w:r>
              <w:t>1.2 Trailing &amp; calendar-year returns (extracted-unverified): Calendar-year 'Total return based on NAV', Class I | Class S | Class D: FY2025 8.0% | 7.1% | 7.8%, FY2024 11.0% | 10.1% | 10.7%, FY2023 14.4% | 13.4% | 14.1%, FY2022 3.6% | 2.7% | 3.3%, FY2021 12.6% | 11.6% | 7.4% (Class D commenced 2021-05-01).</w:t>
            </w:r>
          </w:p>
          <w:p>
            <w:r>
              <w:t>1.3 Gross vs net spread (partial): PARTIAL: no gross-of-fees RETURN series is printed anywhere in the 10-K/10-Q (only net 'Total return based on NAV').</w:t>
            </w:r>
          </w:p>
          <w:p>
            <w:r>
              <w:t>1.4 Distribution history &amp; composition (extracted-unverified): Distributions declared every month since January 2021.</w:t>
            </w:r>
          </w:p>
          <w:p>
            <w:r>
              <w:t>1.5 Underlying sleeve/GP performance (partial): PARTIAL: direct-origination BDC, no underlying third-party GP funds exist.</w:t>
            </w:r>
          </w:p>
          <w:p>
            <w:r>
              <w:t>1.8 Risk-adjusted metrics (PME etc) (computed): Meaningful benchmark (paragraph (k)), Cliffwater Direct Lending Index (CDLI) scored 7 of 10.</w:t>
            </w:r>
          </w:p>
          <w:p>
            <w:r>
              <w:t>1.9 Stress-window performance (computed): Stress observation from the printed fiscal-year returns on record.</w:t>
            </w:r>
          </w:p>
          <w:p>
            <w:r>
              <w:t>1.11 Track record &amp; manager tenure (extracted-unverified): Track record starts at escrow break 2021-01-07 (trust formed 2020-02-11), about 5.0 years of operating history at the FY2025 10-K (filed 2026-03-13), Deloitte 'auditor since 2020'.</w:t>
            </w:r>
          </w:p>
          <w:p>
            <w:r>
              <w:t>1.12 Peer comparison (paragraphs (g) and (h)) (computed): Peer comparison (paragraphs (g) and (h)): private credit cohort, peers Cliffwater Corporate Lending Fund, PIMCO Flexible Credit Income Fund, CION Ares Diversified Credit Fund, Blue Owl Credit Income Corp., fund return basis filed calendar-year returns (December fiscal year).</w:t>
            </w:r>
          </w:p>
          <w:p>
            <w:r>
              <w:t>Not applicable: 1.6 sub-annual total-return series not free-public (annual highlights, quarterly NAV path excludes distributions). 1.7 monthly return series not free-public for this wrapper. 1.10 not exchange-listed.</w:t>
            </w:r>
          </w:p>
        </w:tc>
      </w:tr>
      <w:tr>
        <w:trPr>
          <w:cantSplit/>
        </w:trPr>
        <w:tc>
          <w:tcPr>
            <w:tcW w:type="dxa" w:w="1728"/>
          </w:tcPr>
          <w:p>
            <w:r>
              <w:t>2. Fees (h)</w:t>
            </w:r>
          </w:p>
        </w:tc>
        <w:tc>
          <w:tcPr>
            <w:tcW w:type="dxa" w:w="7632"/>
          </w:tcPr>
          <w:p>
            <w:r>
              <w:t>On fees and expenses (h), the management fee is 1.25% on net assets (cell 2.1), the incentive fee is 12.5% / 5% hurdle (cell 2.2), the expense ratio is 7.00% (including the interest and financing cost of BDC leverage (FY2025, Class I)) (cell 2.3) and the early repurchase fee is 2% &lt; 1 year (cell 2.7).</w:t>
            </w:r>
          </w:p>
          <w:p>
            <w:r>
              <w:t>Facts on record: 2.1 1.25% on net assets. 2.2 incentive fee: 12.5% / 5% hurdle. 2.3 7.00% expense ratio, including the interest and financing cost of BDC leverage (FY2025, Class I). 2.4 AFFE 0.02%. 2.7 early repurchase fee: 2% &lt; 1 year.</w:t>
            </w:r>
          </w:p>
          <w:p>
            <w:r>
              <w:t>2.1 Management fee (rate AND base) (extracted-unverified): RATE: 1.25% per annum.</w:t>
            </w:r>
          </w:p>
          <w:p>
            <w:r>
              <w:t>2.2 Incentive fee terms (extracted-unverified): TWO-PART incentive fee, components independent.</w:t>
            </w:r>
          </w:p>
          <w:p>
            <w:r>
              <w:t>2.3 Total expense ratio &amp; waivers (extracted-unverified): 10-K FY2025 financial highlights net expense ratio (of average net assets): 7.0% Class I / 7.9% Class S / 7.3% Class D, equal to total operating expense ratio (expense support/recoupment and fee waivers 0.0% all classes, ratios exclude expenses of underlying investment companies incl. JVs).</w:t>
            </w:r>
          </w:p>
          <w:p>
            <w:r>
              <w:t>2.4 AFFE (extracted-unverified): AFFE printed in the prospectus fee table (2026-05-01): 0.02% of net assets for each of Class I, Class S and Class D (line 'Acquired Fund Fees and Expenses (9)').</w:t>
            </w:r>
          </w:p>
          <w:p>
            <w:r>
              <w:t>2.6 Loads &amp; servicing fees (extracted-unverified): By class, upfront: no upfront selling commissions paid to the Fund on any class, intermediary-charged transaction/placement fees capped at 3.5% of NAV (Class S) and 1.5% of NAV (Class D), none permitted on Class I. Ongoing shareholder servicing and/or distribution fee (annualized, % of aggregate class NAV, paid monthly in arrears to Intermediary Manager Blackstone Securities Partners L.P., reallowed to brokers): Class I 0% / Class S 0.85% / Class D 0.25%.</w:t>
            </w:r>
          </w:p>
          <w:p>
            <w:r>
              <w:t>2.7 Early repurchase fee (extracted-unverified): 2% Early Repurchase Deduction: shares not outstanding at least one year are repurchased at 98% of NAV (one-year clock runs issuance date to subscription date following the repurchase valuation date).</w:t>
            </w:r>
          </w:p>
          <w:p>
            <w:r>
              <w:t>2.9 Fee peer percentile (computed): Cohort placement (private credit cohort): mgmt fee: 50th percentile of cohort (n=5), at the median of 1.25 | expense ratio (bases differ, see notes): 70th percentile of cohort (n=5), above the median of 3.76 | repurchase cap: 50th percentile of cohort (n=5), at the median of 5.</w:t>
            </w:r>
          </w:p>
          <w:p>
            <w:r>
              <w:t>Not applicable: 2.5 no underlying third-party GP funds, joint-venture partner economics are private LP-agreement terms with no fee/carry rates printed in the filings.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NAV, the repurchase program is active as of 2025-12-31 (cell 3.1), requests have been prorated under stress before (cell 3.3), the plan's filed outflow proxy is 10.8% of the position per year (the plan record) and the structural verdict is conditional-weak with the scenario verdict conditional under this plan (ILLUSTRATIVE, cell 3.9).</w:t>
            </w:r>
          </w:p>
          <w:p>
            <w:r>
              <w:t>Facts on record: 3.1 quarterly dealing, 5% cap per quarter on NAV. 3.3 gating history: yes, prorated under stress. 3.9 structural verdict conditional-weak, plan-independent.</w:t>
            </w:r>
          </w:p>
          <w:p>
            <w:r>
              <w:t>3.1 Wrapper liquidity terms (extracted-unverified): CADENCE: quarterly tender offers at Board discretion (no obligation to offer in any quarter, Board may amend/suspend).</w:t>
            </w:r>
          </w:p>
          <w:p>
            <w:r>
              <w:t>3.2 Repurchase mechanics (extracted-unverified): Mechanics: quarterly Rule 13e-4 tenders, commencement ~2 months and request deadline ~1 month before the quarter-end pricing date (FY2025 pattern: commence 2025-02-03, deadline 2025-03-03, priced at 2025-03-31 NAV), shareholders must submit notice of intent BEFORE the repurchase-date NAV is known but may withdraw before the repurchase date, price = quarter-end NAV (98% if &lt;1 year), oversubscription allocated pro rata by shares tendered without regard to class, repurchased shares retired, repurchases outside the program permitted under Rule 23c-1(a)(10).</w:t>
            </w:r>
          </w:p>
          <w:p>
            <w:r>
              <w:t>3.3 Repurchase history (extracted-unverified): Completed quarterly tenders printed for every quarter 2023-2026H1.</w:t>
            </w:r>
          </w:p>
          <w:p>
            <w:r>
              <w:t>3.4 Portfolio liquidity profile (extracted-unverified): Illiquid private-credit book: Level 3 = $75.0B of $82.2B total investments (91.3% incl. $1.79B NAV-measured JVs) at 2025-12-31, 89.2% first lien private loans, unfunded commitments $13.4B principal (delayed draws/revolvers).</w:t>
            </w:r>
          </w:p>
          <w:p>
            <w:r>
              <w:t>3.6 Fund leverage &amp; facilities (extracted-unverified): Core leverage: 1940-Act 150% minimum asset coverage election (Section 61(a)(2), sole-shareholder approval 2020-08-26, up to 2:1 debt-to-equity).</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but this issuer HAS prorated under stress (3.3). Source: this plan's liquidity match.</w:t>
            </w:r>
          </w:p>
          <w:p>
            <w:r>
              <w:t>3.9 Product-to-plan liquidity match (computed, this plan): Structural liquidity verdict CONDITIONAL-WEAK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NAV determined for each class as of the last day of each calendar month, shares issued at the prior month-end NAV, class NAV = class assets minus class liabilities over class shares.</w:t>
            </w:r>
          </w:p>
          <w:p>
            <w:r>
              <w:t>4.2 Fair-value hierarchy (L1/2/3) (extracted-unverified): Fair-value hierarchy at 2025-12-31 ($K): Level 1 $19,774 / Level 2 $5,364,336 / Level 3 $75,023,423 / subtotal $80,407,533, plus investments measured at NAV (JVs) $1,791,813 = total investments $82,199,346.</w:t>
            </w:r>
          </w:p>
          <w:p>
            <w:r>
              <w:t>4.3 Independent valuation agent (partial): PARTIAL: independent valuation firms ARE engaged (recommended by the Advisers, engaged at the direction of the Board) and prepare quarter-end valuation ranges for Level 3 investments other than de minimis positions, plus supporting methodology analyses, but no firm is NAMED anywhere in the 10-K.</w:t>
            </w:r>
          </w:p>
          <w:p>
            <w:r>
              <w:t>4.4 Methodology by asset type (extracted-unverified): By asset type (Note 5 unobservable-inputs table, 2025-12-31): performing debt, market-interest-rate YIELD ANALYSIS (contractual cash flows discounted at market yield): first lien $66,420.8M, discount rate 2.81%-32.47% (WA 9.06%), second lien $2,477.0M by same technique.</w:t>
            </w:r>
          </w:p>
          <w:p>
            <w:r>
              <w:t>4.5 Auditor &amp; opinion (extracted-unverified): Deloitte &amp; Touche LLP, New York, New York.</w:t>
            </w:r>
          </w:p>
          <w:p>
            <w:r>
              <w:t>4.6 NAV restatement history (extracted-unverified): None identified: searched stripped 10-K (FY2025, filed 2026-03-13), 10-Q (Q2-2026, filed 2026-08-12), prospectus 486BPOS (2026-05-01), SC TO-I (2026-08-04) and 424B3 Supplement No. 2 (2026-07-24) for 'restat' and 'error correction'.</w:t>
            </w:r>
          </w:p>
          <w:p>
            <w:r>
              <w:t>Not applicable: 4.7 no market price for a non-listed NAV-transaction wrapper. 4.8 quarterly NAV cadence, rho estimation not meaningful at n=9. 4.9 CIT only.</w:t>
            </w:r>
          </w:p>
        </w:tc>
      </w:tr>
      <w:tr>
        <w:trPr>
          <w:cantSplit/>
        </w:trPr>
        <w:tc>
          <w:tcPr>
            <w:tcW w:type="dxa" w:w="1728"/>
          </w:tcPr>
          <w:p>
            <w:r>
              <w:t>5. Performance Benchmarks (k)</w:t>
            </w:r>
          </w:p>
        </w:tc>
        <w:tc>
          <w:tcPr>
            <w:tcW w:type="dxa" w:w="7632"/>
          </w:tcPr>
          <w:p>
            <w:r>
              <w:t>On performance benchmarks (k), the meaningful benchmark is Cliffwater Direct Lending Index (CDLI), scored 7 of 10 (cell 5.3) and meaningful benchmark by descriptor. No comparison until its series is held.</w:t>
            </w:r>
          </w:p>
          <w:p>
            <w:r>
              <w:t>Facts on record: 5.3 CDLI selected by descriptor, 7 of 10.</w:t>
            </w:r>
          </w:p>
          <w:p>
            <w:r>
              <w:t>5.1 Self-declared benchmark (extracted-unverified): ABSENCE DOCUMENTED: no self-declared performance benchmark anywhere in the FY2025 10-K or the 2026-05-01 prospectus.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2021-01-07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BDC (cell 6.1), tax reporting is Form 1099 (cell 6.4) and cells 6.6 and 6.8 are advisor-completed under paragraph (l).</w:t>
            </w:r>
          </w:p>
          <w:p>
            <w:r>
              <w:t>Facts on record: 6.1 non-traded BDC. 6.4 Form 1099.</w:t>
            </w:r>
          </w:p>
          <w:p>
            <w:r>
              <w:t>6.1 Structure map (extracted-unverified): Delaware statutory trust formed 2020-02-11, non-diversified closed-end management investment company, elected BDC regulation under the 1940 Act, elected RIC treatment under Subchapter M (intends to qualify annually), perpetual-life non-traded BDC sold monthly at NAV in a continuous offering (broke escrow 2021-01-07).</w:t>
            </w:r>
          </w:p>
          <w:p>
            <w:r>
              <w:t>6.2 Strategy &amp; instrument complexity (extracted-unverified): STRATEGY: U.S. private-credit direct lending, predominantly first lien senior secured and unitranche loans (incl. first-out/last-out) to U.S. private companies, also second lien, unsecured, subordinated/mezzanine, structured credit and broadly syndicated loans, at least 70% U.S. private companies (BDC requirement), some European/other non-U.S., no emerging markets, objectives: current income and, to a lesser extent, long-term capital appreciation.</w:t>
            </w:r>
          </w:p>
          <w:p>
            <w:r>
              <w:t>6.3 Conflicts &amp; affiliated transactions (extracted-unverified): SEC co-investment exemptive relief in place: co-investment transactions with Blackstone, the Advisers and their affiliates subject to conditions (fair-and-equitable-opportunity policies required, Advisers may still allocate deals away).</w:t>
            </w:r>
          </w:p>
          <w:p>
            <w:r>
              <w:t>6.4 Tax reporting (1099 vs K-1) (extracted-unverified): Form 1099-DIV (or Form 1099-B if required) literally printed for U.S. shareholders, prospectus states 1099-DIV expected mailed by January 31 each year, Form 1042-S for non-U.S.</w:t>
            </w:r>
          </w:p>
          <w:p>
            <w:r>
              <w:t>6.5 Service-provider web (extracted-unverified): Custodian: State Street Bank and Trust Company (100 Summer Street, Boston, MA).</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net assets</w:t>
            </w:r>
          </w:p>
        </w:tc>
        <w:tc>
          <w:tcPr>
            <w:tcW w:type="dxa" w:w="2880"/>
          </w:tcPr>
          <w:p>
            <w:r>
              <w:t>extracted-unverified</w:t>
            </w:r>
          </w:p>
        </w:tc>
      </w:tr>
      <w:tr>
        <w:trPr>
          <w:cantSplit/>
        </w:trPr>
        <w:tc>
          <w:tcPr>
            <w:tcW w:type="dxa" w:w="2880"/>
          </w:tcPr>
          <w:p>
            <w:r>
              <w:t>2.2 Incentive fee terms</w:t>
            </w:r>
          </w:p>
        </w:tc>
        <w:tc>
          <w:tcPr>
            <w:tcW w:type="dxa" w:w="3600"/>
          </w:tcPr>
          <w:p>
            <w:r>
              <w:t>incentive fee: 12.5% / 5% hurdle</w:t>
            </w:r>
          </w:p>
        </w:tc>
        <w:tc>
          <w:tcPr>
            <w:tcW w:type="dxa" w:w="2880"/>
          </w:tcPr>
          <w:p>
            <w:r>
              <w:t>extracted-unverified</w:t>
            </w:r>
          </w:p>
        </w:tc>
      </w:tr>
      <w:tr>
        <w:trPr>
          <w:cantSplit/>
        </w:trPr>
        <w:tc>
          <w:tcPr>
            <w:tcW w:type="dxa" w:w="2880"/>
          </w:tcPr>
          <w:p>
            <w:r>
              <w:t>2.3 Total expense ratio &amp; waivers</w:t>
            </w:r>
          </w:p>
        </w:tc>
        <w:tc>
          <w:tcPr>
            <w:tcW w:type="dxa" w:w="3600"/>
          </w:tcPr>
          <w:p>
            <w:r>
              <w:t>7.00% expense ratio, including the interest and financing cost of BDC leverage (FY2025, Class I)</w:t>
            </w:r>
          </w:p>
        </w:tc>
        <w:tc>
          <w:tcPr>
            <w:tcW w:type="dxa" w:w="2880"/>
          </w:tcPr>
          <w:p>
            <w:r>
              <w:t>extracted-unverified</w:t>
            </w:r>
          </w:p>
        </w:tc>
      </w:tr>
      <w:tr>
        <w:trPr>
          <w:cantSplit/>
        </w:trPr>
        <w:tc>
          <w:tcPr>
            <w:tcW w:type="dxa" w:w="2880"/>
          </w:tcPr>
          <w:p>
            <w:r>
              <w:t>2.4 AFFE</w:t>
            </w:r>
          </w:p>
        </w:tc>
        <w:tc>
          <w:tcPr>
            <w:tcW w:type="dxa" w:w="3600"/>
          </w:tcPr>
          <w:p>
            <w:r>
              <w:t>AFFE 0.02%</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1.2378, Direct Alpha 4.38%/yr, 2021-01-07 to 2025-12-31</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1.0986, annualized excess return 1.9%/yr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CDLI selected.</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Senior loan investable proxy (BKLN, for Morningstar LSTA class).</w:t>
      </w:r>
    </w:p>
    <w:p>
      <w:r>
        <w:t>Selection recorded 2026-09-04, record a608225b. Rubric v3.1. The full record hash is a608225b48e4ce7c01c95c8135e1385390259758265bd7b173438738d2b5b25f.</w:t>
      </w:r>
    </w:p>
    <w:p>
      <w:pPr>
        <w:pStyle w:val="ListBullet"/>
      </w:pPr>
      <w:r>
        <w:t>Strategy match 3 of 3: same asset class and sub-strategy (private credit / direct lending)</w:t>
      </w:r>
    </w:p>
    <w:p>
      <w:pPr>
        <w:pStyle w:val="ListBullet"/>
      </w:pPr>
      <w:r>
        <w:t>Risk and liquidity match 2 of 3: appraisal-based index without a dealing mechanism of its own against a NAV fund that has prorated requests (quarterly dealing at NAV under 5% cap per quarter, requests prorated in the filings on record): the index carries no gate, so the liquidity process is one step apart</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2021-01-07 to 2025-12-31: fund 9.89%/yr (filed calendar-year returns (December fiscal year)) vs the public series 5.29%/yr, KS-PME 1.2378, Direct Alpha 4.38%/yr.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documented absence, zero index references.</w:t>
      </w:r>
    </w:p>
    <w:p>
      <w:pPr>
        <w:pStyle w:val="Heading2"/>
        <w:keepNext/>
      </w:pPr>
      <w:r>
        <w:t>Peer comparison (paragraphs (g) and (h)): private credit cohort</w:t>
      </w:r>
    </w:p>
    <w:p>
      <w:r>
        <w:t>Peers: Cliffwater Corporate Lending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9.85%/yr (filed calendar-year returns (December fiscal year)) vs the peer composite 7.81%/yr, relative wealth ratio 1.0986, annualized excess return 1.9%/yr.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PIMCO Flexible Credit Income Fund: Yahoo adjusted close, approximates NAV total return, CION Ares Diversified Credit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Blackstone Private Credit Fund</w:t>
            </w:r>
          </w:p>
        </w:tc>
        <w:tc>
          <w:tcPr>
            <w:tcW w:type="dxa" w:w="1498"/>
          </w:tcPr>
          <w:p>
            <w:r>
              <w:t>Cliffwater Corporate Lending Fund</w:t>
            </w:r>
          </w:p>
        </w:tc>
        <w:tc>
          <w:tcPr>
            <w:tcW w:type="dxa" w:w="1498"/>
          </w:tcPr>
          <w:p>
            <w:r>
              <w:t>PIMCO Flexible Credit Income Fund</w:t>
            </w:r>
          </w:p>
        </w:tc>
        <w:tc>
          <w:tcPr>
            <w:tcW w:type="dxa" w:w="1498"/>
          </w:tcPr>
          <w:p>
            <w:r>
              <w:t>CION Ares Diversified Credit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n/a</w:t>
            </w:r>
          </w:p>
        </w:tc>
        <w:tc>
          <w:tcPr>
            <w:tcW w:type="dxa" w:w="1498"/>
          </w:tcPr>
          <w:p>
            <w:r>
              <w:t>n/a</w:t>
            </w:r>
          </w:p>
        </w:tc>
        <w:tc>
          <w:tcPr>
            <w:tcW w:type="dxa" w:w="1498"/>
          </w:tcPr>
          <w:p>
            <w:r>
              <w:t>2.86%</w:t>
            </w:r>
          </w:p>
        </w:tc>
        <w:tc>
          <w:tcPr>
            <w:tcW w:type="dxa" w:w="1498"/>
          </w:tcPr>
          <w:p>
            <w:r>
              <w:t>4.45%</w:t>
            </w:r>
          </w:p>
        </w:tc>
        <w:tc>
          <w:tcPr>
            <w:tcW w:type="dxa" w:w="1498"/>
          </w:tcPr>
          <w:p>
            <w:r>
              <w:t>n/a</w:t>
            </w:r>
          </w:p>
        </w:tc>
      </w:tr>
      <w:tr>
        <w:trPr>
          <w:cantSplit/>
        </w:trPr>
        <w:tc>
          <w:tcPr>
            <w:tcW w:type="dxa" w:w="1296"/>
          </w:tcPr>
          <w:p>
            <w:r>
              <w:t>2019</w:t>
            </w:r>
          </w:p>
        </w:tc>
        <w:tc>
          <w:tcPr>
            <w:tcW w:type="dxa" w:w="576"/>
          </w:tcPr>
          <w:p>
            <w:r>
              <w:t>2</w:t>
            </w:r>
          </w:p>
        </w:tc>
        <w:tc>
          <w:tcPr>
            <w:tcW w:type="dxa" w:w="1498"/>
          </w:tcPr>
          <w:p>
            <w:r>
              <w:t>n/a</w:t>
            </w:r>
          </w:p>
        </w:tc>
        <w:tc>
          <w:tcPr>
            <w:tcW w:type="dxa" w:w="1498"/>
          </w:tcPr>
          <w:p>
            <w:r>
              <w:t>n/a</w:t>
            </w:r>
          </w:p>
        </w:tc>
        <w:tc>
          <w:tcPr>
            <w:tcW w:type="dxa" w:w="1498"/>
          </w:tcPr>
          <w:p>
            <w:r>
              <w:t>10.63%</w:t>
            </w:r>
          </w:p>
        </w:tc>
        <w:tc>
          <w:tcPr>
            <w:tcW w:type="dxa" w:w="1498"/>
          </w:tcPr>
          <w:p>
            <w:r>
              <w:t>9.5%</w:t>
            </w:r>
          </w:p>
        </w:tc>
        <w:tc>
          <w:tcPr>
            <w:tcW w:type="dxa" w:w="1498"/>
          </w:tcPr>
          <w:p>
            <w:r>
              <w:t>n/a</w:t>
            </w:r>
          </w:p>
        </w:tc>
      </w:tr>
      <w:tr>
        <w:trPr>
          <w:cantSplit/>
        </w:trPr>
        <w:tc>
          <w:tcPr>
            <w:tcW w:type="dxa" w:w="1296"/>
          </w:tcPr>
          <w:p>
            <w:r>
              <w:t>2020</w:t>
            </w:r>
          </w:p>
        </w:tc>
        <w:tc>
          <w:tcPr>
            <w:tcW w:type="dxa" w:w="576"/>
          </w:tcPr>
          <w:p>
            <w:r>
              <w:t>3</w:t>
            </w:r>
          </w:p>
        </w:tc>
        <w:tc>
          <w:tcPr>
            <w:tcW w:type="dxa" w:w="1498"/>
          </w:tcPr>
          <w:p>
            <w:r>
              <w:t>n/a</w:t>
            </w:r>
          </w:p>
        </w:tc>
        <w:tc>
          <w:tcPr>
            <w:tcW w:type="dxa" w:w="1498"/>
          </w:tcPr>
          <w:p>
            <w:r>
              <w:t>5.39%</w:t>
            </w:r>
          </w:p>
        </w:tc>
        <w:tc>
          <w:tcPr>
            <w:tcW w:type="dxa" w:w="1498"/>
          </w:tcPr>
          <w:p>
            <w:r>
              <w:t>4.29%</w:t>
            </w:r>
          </w:p>
        </w:tc>
        <w:tc>
          <w:tcPr>
            <w:tcW w:type="dxa" w:w="1498"/>
          </w:tcPr>
          <w:p>
            <w:r>
              <w:t>2.79%</w:t>
            </w:r>
          </w:p>
        </w:tc>
        <w:tc>
          <w:tcPr>
            <w:tcW w:type="dxa" w:w="1498"/>
          </w:tcPr>
          <w:p>
            <w:r>
              <w:t>n/a</w:t>
            </w:r>
          </w:p>
        </w:tc>
      </w:tr>
      <w:tr>
        <w:trPr>
          <w:cantSplit/>
        </w:trPr>
        <w:tc>
          <w:tcPr>
            <w:tcW w:type="dxa" w:w="1296"/>
          </w:tcPr>
          <w:p>
            <w:r>
              <w:t>2021</w:t>
            </w:r>
          </w:p>
        </w:tc>
        <w:tc>
          <w:tcPr>
            <w:tcW w:type="dxa" w:w="576"/>
          </w:tcPr>
          <w:p>
            <w:r>
              <w:t>5</w:t>
            </w:r>
          </w:p>
        </w:tc>
        <w:tc>
          <w:tcPr>
            <w:tcW w:type="dxa" w:w="1498"/>
          </w:tcPr>
          <w:p>
            <w:r>
              <w:t>12.6%</w:t>
            </w:r>
          </w:p>
        </w:tc>
        <w:tc>
          <w:tcPr>
            <w:tcW w:type="dxa" w:w="1498"/>
          </w:tcPr>
          <w:p>
            <w:r>
              <w:t>10.38%</w:t>
            </w:r>
          </w:p>
        </w:tc>
        <w:tc>
          <w:tcPr>
            <w:tcW w:type="dxa" w:w="1498"/>
          </w:tcPr>
          <w:p>
            <w:r>
              <w:t>11.29%</w:t>
            </w:r>
          </w:p>
        </w:tc>
        <w:tc>
          <w:tcPr>
            <w:tcW w:type="dxa" w:w="1498"/>
          </w:tcPr>
          <w:p>
            <w:r>
              <w:t>9.21%</w:t>
            </w:r>
          </w:p>
        </w:tc>
        <w:tc>
          <w:tcPr>
            <w:tcW w:type="dxa" w:w="1498"/>
          </w:tcPr>
          <w:p>
            <w:r>
              <w:t>4.3%</w:t>
            </w:r>
          </w:p>
        </w:tc>
      </w:tr>
      <w:tr>
        <w:trPr>
          <w:cantSplit/>
        </w:trPr>
        <w:tc>
          <w:tcPr>
            <w:tcW w:type="dxa" w:w="1296"/>
          </w:tcPr>
          <w:p>
            <w:r>
              <w:t>2022</w:t>
            </w:r>
          </w:p>
        </w:tc>
        <w:tc>
          <w:tcPr>
            <w:tcW w:type="dxa" w:w="576"/>
          </w:tcPr>
          <w:p>
            <w:r>
              <w:t>5</w:t>
            </w:r>
          </w:p>
        </w:tc>
        <w:tc>
          <w:tcPr>
            <w:tcW w:type="dxa" w:w="1498"/>
          </w:tcPr>
          <w:p>
            <w:r>
              <w:t>3.6%</w:t>
            </w:r>
          </w:p>
        </w:tc>
        <w:tc>
          <w:tcPr>
            <w:tcW w:type="dxa" w:w="1498"/>
          </w:tcPr>
          <w:p>
            <w:r>
              <w:t>2.05%</w:t>
            </w:r>
          </w:p>
        </w:tc>
        <w:tc>
          <w:tcPr>
            <w:tcW w:type="dxa" w:w="1498"/>
          </w:tcPr>
          <w:p>
            <w:r>
              <w:t>-15.36%</w:t>
            </w:r>
          </w:p>
        </w:tc>
        <w:tc>
          <w:tcPr>
            <w:tcW w:type="dxa" w:w="1498"/>
          </w:tcPr>
          <w:p>
            <w:r>
              <w:t>-2.85%</w:t>
            </w:r>
          </w:p>
        </w:tc>
        <w:tc>
          <w:tcPr>
            <w:tcW w:type="dxa" w:w="1498"/>
          </w:tcPr>
          <w:p>
            <w:r>
              <w:t>5.2%</w:t>
            </w:r>
          </w:p>
        </w:tc>
      </w:tr>
      <w:tr>
        <w:trPr>
          <w:cantSplit/>
        </w:trPr>
        <w:tc>
          <w:tcPr>
            <w:tcW w:type="dxa" w:w="1296"/>
          </w:tcPr>
          <w:p>
            <w:r>
              <w:t>2023</w:t>
            </w:r>
          </w:p>
        </w:tc>
        <w:tc>
          <w:tcPr>
            <w:tcW w:type="dxa" w:w="576"/>
          </w:tcPr>
          <w:p>
            <w:r>
              <w:t>5</w:t>
            </w:r>
          </w:p>
        </w:tc>
        <w:tc>
          <w:tcPr>
            <w:tcW w:type="dxa" w:w="1498"/>
          </w:tcPr>
          <w:p>
            <w:r>
              <w:t>14.4%</w:t>
            </w:r>
          </w:p>
        </w:tc>
        <w:tc>
          <w:tcPr>
            <w:tcW w:type="dxa" w:w="1498"/>
          </w:tcPr>
          <w:p>
            <w:r>
              <w:t>12.66%</w:t>
            </w:r>
          </w:p>
        </w:tc>
        <w:tc>
          <w:tcPr>
            <w:tcW w:type="dxa" w:w="1498"/>
          </w:tcPr>
          <w:p>
            <w:r>
              <w:t>9.25%</w:t>
            </w:r>
          </w:p>
        </w:tc>
        <w:tc>
          <w:tcPr>
            <w:tcW w:type="dxa" w:w="1498"/>
          </w:tcPr>
          <w:p>
            <w:r>
              <w:t>12.99%</w:t>
            </w:r>
          </w:p>
        </w:tc>
        <w:tc>
          <w:tcPr>
            <w:tcW w:type="dxa" w:w="1498"/>
          </w:tcPr>
          <w:p>
            <w:r>
              <w:t>13.5%</w:t>
            </w:r>
          </w:p>
        </w:tc>
      </w:tr>
      <w:tr>
        <w:trPr>
          <w:cantSplit/>
        </w:trPr>
        <w:tc>
          <w:tcPr>
            <w:tcW w:type="dxa" w:w="1296"/>
          </w:tcPr>
          <w:p>
            <w:r>
              <w:t>2024</w:t>
            </w:r>
          </w:p>
        </w:tc>
        <w:tc>
          <w:tcPr>
            <w:tcW w:type="dxa" w:w="576"/>
          </w:tcPr>
          <w:p>
            <w:r>
              <w:t>5</w:t>
            </w:r>
          </w:p>
        </w:tc>
        <w:tc>
          <w:tcPr>
            <w:tcW w:type="dxa" w:w="1498"/>
          </w:tcPr>
          <w:p>
            <w:r>
              <w:t>11%</w:t>
            </w:r>
          </w:p>
        </w:tc>
        <w:tc>
          <w:tcPr>
            <w:tcW w:type="dxa" w:w="1498"/>
          </w:tcPr>
          <w:p>
            <w:r>
              <w:t>12.62%</w:t>
            </w:r>
          </w:p>
        </w:tc>
        <w:tc>
          <w:tcPr>
            <w:tcW w:type="dxa" w:w="1498"/>
          </w:tcPr>
          <w:p>
            <w:r>
              <w:t>15.27%</w:t>
            </w:r>
          </w:p>
        </w:tc>
        <w:tc>
          <w:tcPr>
            <w:tcW w:type="dxa" w:w="1498"/>
          </w:tcPr>
          <w:p>
            <w:r>
              <w:t>10.39%</w:t>
            </w:r>
          </w:p>
        </w:tc>
        <w:tc>
          <w:tcPr>
            <w:tcW w:type="dxa" w:w="1498"/>
          </w:tcPr>
          <w:p>
            <w:r>
              <w:t>11.5%</w:t>
            </w:r>
          </w:p>
        </w:tc>
      </w:tr>
      <w:tr>
        <w:trPr>
          <w:cantSplit/>
        </w:trPr>
        <w:tc>
          <w:tcPr>
            <w:tcW w:type="dxa" w:w="1296"/>
          </w:tcPr>
          <w:p>
            <w:r>
              <w:t>2025</w:t>
            </w:r>
          </w:p>
        </w:tc>
        <w:tc>
          <w:tcPr>
            <w:tcW w:type="dxa" w:w="576"/>
          </w:tcPr>
          <w:p>
            <w:r>
              <w:t>5</w:t>
            </w:r>
          </w:p>
        </w:tc>
        <w:tc>
          <w:tcPr>
            <w:tcW w:type="dxa" w:w="1498"/>
          </w:tcPr>
          <w:p>
            <w:r>
              <w:t>8%</w:t>
            </w:r>
          </w:p>
        </w:tc>
        <w:tc>
          <w:tcPr>
            <w:tcW w:type="dxa" w:w="1498"/>
          </w:tcPr>
          <w:p>
            <w:r>
              <w:t>8.92%</w:t>
            </w:r>
          </w:p>
        </w:tc>
        <w:tc>
          <w:tcPr>
            <w:tcW w:type="dxa" w:w="1498"/>
          </w:tcPr>
          <w:p>
            <w:r>
              <w:t>12.2%</w:t>
            </w:r>
          </w:p>
        </w:tc>
        <w:tc>
          <w:tcPr>
            <w:tcW w:type="dxa" w:w="1498"/>
          </w:tcPr>
          <w:p>
            <w:r>
              <w:t>7.69%</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Tied on score. Ordered by strategy match, then risk and liquidity match, then data held, then name. Score 7 of 10, CDLI selected. Criteria: Strategy match 2 of 3: the public-market version of the asset class (syndicated loans for direct lending), Risk and liquidity match 1 of 3: daily-liquid market series against a semi-liquid NAV fund (quarterly dealing at NAV under 5% cap per quarter, requests prorated in the filings on record):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direct lending), Risk and liquidity match 1 of 3: daily-liquid market series against a semi-liquid NAV fund (quarterly dealing at NAV under 5% cap per quarter, requests prorated in the filings on record):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direct lending), Risk and liquidity match 1 of 3: daily-liquid market series against a semi-liquid NAV fund (quarterly dealing at NAV under 5% cap per quarter, requests prorated in the filings on record):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CONDITIONAL-WEAK</w:t>
      </w:r>
    </w:p>
    <w:p>
      <w:pPr>
        <w:pStyle w:val="ListBullet"/>
      </w:pPr>
      <w:r>
        <w:t>STRUCTURAL GAP: a participant-directed 404(c) menu assumes daily pricing and daily participant liquidity, whereas this wrapper deals quarterly with a 5% cap per quarter on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BDC</w:t>
            </w:r>
          </w:p>
        </w:tc>
        <w:tc>
          <w:tcPr>
            <w:tcW w:type="dxa" w:w="1152"/>
          </w:tcPr>
          <w:p>
            <w:r>
              <w:t>6.1</w:t>
            </w:r>
          </w:p>
        </w:tc>
      </w:tr>
      <w:tr>
        <w:trPr>
          <w:cantSplit/>
        </w:trPr>
        <w:tc>
          <w:tcPr>
            <w:tcW w:type="dxa" w:w="2448"/>
          </w:tcPr>
          <w:p>
            <w:r>
              <w:t>Dealing terms</w:t>
            </w:r>
          </w:p>
        </w:tc>
        <w:tc>
          <w:tcPr>
            <w:tcW w:type="dxa" w:w="5760"/>
          </w:tcPr>
          <w:p>
            <w:r>
              <w:t>quarterly offers, 5% cap per quarter on NAV</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yes, prorated under stress</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 but this issuer HAS prorated under stress (3.3).</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10.8% and the stressed demand 18.2% of the position per year both stay within the annual wrapper capacity 20% (binding cap 5% per quarter on NAV (3.1), quarterly offers (3.1), program active as of 2025-12-31 (3.1), prorated under stress before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2024-05-01 to 2025-04-30).</w:t>
      </w:r>
    </w:p>
    <w:p>
      <w:pPr>
        <w:pStyle w:val="Heading1"/>
        <w:keepNext/>
      </w:pPr>
      <w:r>
        <w:t>Peer cohort placement</w:t>
      </w:r>
    </w:p>
    <w:p>
      <w:r>
        <w:t>Evidence depth tier: COHORT. Cohort: Private credit (interval fund + non-traded BDC) (n=5). Membership rationale: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 credit cohort): mgmt fee: 50th percentile of cohort (n=5), at the median of 1.25 | expense ratio (bases differ, see notes): 70th percentile of cohort (n=5), above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26, verified 0, computed 11, partial 4, fetched 1, n/a 13, pending 0. 37 of 42 resolved: 26 evidenced, 11 computed, 5 partial, 13 n/a, 0 verified by a person.</w:t>
      </w:r>
    </w:p>
    <w:p>
      <w:r>
        <w:t>Of the 37 resolved cells (structured, extracted-unverified, verified and computed), 37 carry a source document, 37 a section, 26 a verbatim quote (computed cells carry their computation and inputs instead of a quote) and 37 an extractor. 5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2026-03-13</w:t>
            </w:r>
          </w:p>
        </w:tc>
        <w:tc>
          <w:tcPr>
            <w:tcW w:type="dxa" w:w="4896"/>
          </w:tcPr>
          <w:p>
            <w:r>
              <w:t>accession 0001803498-26-000014</w:t>
            </w:r>
          </w:p>
          <w:p>
            <w:r>
              <w:t>https://www.sec.gov/Archives/edgar/data/1803498/000180349826000014/bcred-20251231.htm</w:t>
            </w:r>
          </w:p>
        </w:tc>
        <w:tc>
          <w:tcPr>
            <w:tcW w:type="dxa" w:w="2592"/>
          </w:tcPr>
          <w:p>
            <w:r>
              <w:t>1.1, 1.2, 1.3, 1.4, 1.5, 1.11 (matched by form only), 2.1, 2.2, 2.3, 2.6, 2.7, 3.1, 3.2, 3.3, 3.4, 3.6, 4.1, 4.2, 4.3, 4.4, 4.5, 5.1, 6.1 (matched by form only), 6.2, 6.3, 6.5 (matched by form only)</w:t>
            </w:r>
          </w:p>
        </w:tc>
      </w:tr>
      <w:tr>
        <w:trPr>
          <w:cantSplit/>
        </w:trPr>
        <w:tc>
          <w:tcPr>
            <w:tcW w:type="dxa" w:w="1872"/>
          </w:tcPr>
          <w:p>
            <w:r>
              <w:t>486BPOS 2026-05-01</w:t>
            </w:r>
          </w:p>
        </w:tc>
        <w:tc>
          <w:tcPr>
            <w:tcW w:type="dxa" w:w="4896"/>
          </w:tcPr>
          <w:p>
            <w:r>
              <w:t>accession 0001193125-26-198102</w:t>
            </w:r>
          </w:p>
          <w:p>
            <w:r>
              <w:t>https://www.sec.gov/Archives/edgar/data/1803498/000119312526198102/d120436d486bpos.htm</w:t>
            </w:r>
          </w:p>
        </w:tc>
        <w:tc>
          <w:tcPr>
            <w:tcW w:type="dxa" w:w="2592"/>
          </w:tcPr>
          <w:p>
            <w:r>
              <w:t>1.11, 2.3, 2.4, 5.1 (matched by form only), 6.1, 6.4, 6.5</w:t>
            </w:r>
          </w:p>
        </w:tc>
      </w:tr>
      <w:tr>
        <w:trPr>
          <w:cantSplit/>
        </w:trPr>
        <w:tc>
          <w:tcPr>
            <w:tcW w:type="dxa" w:w="1872"/>
          </w:tcPr>
          <w:p>
            <w:r>
              <w:t>424B3 2026-07-24</w:t>
            </w:r>
          </w:p>
        </w:tc>
        <w:tc>
          <w:tcPr>
            <w:tcW w:type="dxa" w:w="4896"/>
          </w:tcPr>
          <w:p>
            <w:r>
              <w:t>accession 0001193125-26-316168</w:t>
            </w:r>
          </w:p>
          <w:p>
            <w:r>
              <w:t>https://www.sec.gov/Archives/edgar/data/1803498/000119312526316168/d145798d424b3.htm</w:t>
            </w:r>
          </w:p>
        </w:tc>
        <w:tc>
          <w:tcPr>
            <w:tcW w:type="dxa" w:w="2592"/>
          </w:tcPr>
          <w:p>
            <w:r>
              <w:t>1.11</w:t>
            </w:r>
          </w:p>
        </w:tc>
      </w:tr>
      <w:tr>
        <w:trPr>
          <w:cantSplit/>
        </w:trPr>
        <w:tc>
          <w:tcPr>
            <w:tcW w:type="dxa" w:w="1872"/>
          </w:tcPr>
          <w:p>
            <w:r>
              <w:t>SC TO-I 2026-08-04</w:t>
            </w:r>
          </w:p>
        </w:tc>
        <w:tc>
          <w:tcPr>
            <w:tcW w:type="dxa" w:w="4896"/>
          </w:tcPr>
          <w:p>
            <w:r>
              <w:t>accession 0001193125-26-331631</w:t>
            </w:r>
          </w:p>
          <w:p>
            <w:r>
              <w:t>https://www.sec.gov/Archives/edgar/data/1803498/000119312526331631/d58084dsctoi.htm</w:t>
            </w:r>
          </w:p>
        </w:tc>
        <w:tc>
          <w:tcPr>
            <w:tcW w:type="dxa" w:w="2592"/>
          </w:tcPr>
          <w:p>
            <w:r>
              <w:t>3.1, 3.3</w:t>
            </w:r>
          </w:p>
        </w:tc>
      </w:tr>
      <w:tr>
        <w:trPr>
          <w:cantSplit/>
        </w:trPr>
        <w:tc>
          <w:tcPr>
            <w:tcW w:type="dxa" w:w="1872"/>
          </w:tcPr>
          <w:p>
            <w:r>
              <w:t>10-Q 2026-08-12</w:t>
            </w:r>
          </w:p>
        </w:tc>
        <w:tc>
          <w:tcPr>
            <w:tcW w:type="dxa" w:w="4896"/>
          </w:tcPr>
          <w:p>
            <w:r>
              <w:t>accession 0001803498-26-000048</w:t>
            </w:r>
          </w:p>
          <w:p>
            <w:r>
              <w:t>https://www.sec.gov/Archives/edgar/data/1803498/000180349826000048/bcred-20260630.htm</w:t>
            </w:r>
          </w:p>
        </w:tc>
        <w:tc>
          <w:tcPr>
            <w:tcW w:type="dxa" w:w="2592"/>
          </w:tcPr>
          <w:p>
            <w:r>
              <w:t>1.1, 1.2, 2.3 (matched by form only), 3.3, 3.4, 3.6, 6.5 (matched by form only)</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4.6: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Blackstone Private Credit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Blackstone Private Credit Fund for US casual-dining restaurant group 401(k) plan (~$1.6B, FL)</dc:title>
  <dc:subject>Fiduciary Duties in Selecting Designated Investment Alternatives, 91 FR 16088 (Mar. 31, 2026), RIN 1210-AC38, proposed 29 CFR 2550.404a-6, paragraphs (g) to (l)</dc:subject>
  <dc:creator>Tark</dc:creator>
  <cp:keywords>bcred,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