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Cliffwater Corporate Lending Fund (TRUE interval fund (Rule 23c-3), private credit, CIK 1735964).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media/technology company 401(k) plan (~$570M, New York) (ILLUSTRATIVE): CONDITIONAL-WEAK.</w:t>
      </w:r>
    </w:p>
    <w:p>
      <w:r>
        <w:t>Meaningful benchmark (paragraph (k)): Senior loan investable proxy (BKLN, for Morningstar LSTA class) at 7 of 10, KS-PME 1.2532, Direct Alpha 3.22%/yr over 2019-06-05 to 2026-07-17. Peer comparison (paragraphs (g) and (h)): relative wealth ratio 1.0613 vs the equal-weight peer composite over 2021 to 2025 (n=4), not a benchmark and not a PME.</w:t>
      </w:r>
    </w:p>
    <w:p>
      <w:r>
        <w:t>Evidence coverage: 36 of 45 resolved: 23 evidenced, 13 computed, 9 partial, 10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Liquidity: structural verdict partial, facts missing: gating history (cells 3.1,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6.8 years of history since 2019-06-05 (cell 1.2), a KS-PME of 1.2532 against BKLN (cell 1.8) and a relative wealth ratio of 1.0613 against the peer composite (cell 1.12).</w:t>
            </w:r>
          </w:p>
          <w:p>
            <w:r>
              <w:t>Facts on record: 1.2 inception: 2019-06-05. 1.8 KS-PME 1.25 vs BKLN. 1.12 peer relative wealth ratio 1.06, not a benchmark.</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no active waiver.</w:t>
            </w:r>
          </w:p>
          <w:p>
            <w:r>
              <w:t>1.4 Distribution history &amp; composition (extracted-unverified): Class I per-share distributions (Consolidated Financial Highlights): FY ended 3/31/2026 total $(1.09), all from net investment income (return of capital, , net realized gain, ), FY2025 $(0.90) all NII, FY2024 $(1.45) = $(1.41) NII + $(0.04) ROC, FY2023 $(0.84) = $(0.69) NII + $(0.15) ROC, stub period 1/1/2022–3/31/2022 none, CY2021 $(0.74) = $(0.62) NII + $(0.10) ROC + $(0.02) net realized gain.</w:t>
            </w:r>
          </w:p>
          <w:p>
            <w:r>
              <w:t>1.6 Volatility &amp; max drawdown (computed): Computed from the held daily series CCLFX (Yahoo adjusted close, approximates NAV total return with distributions reinvested), 2019-06-05 to 2026-07-17: annualized volatility 2.07% on 85 monthly returns, max drawdown -3.91% on the daily series (peak 2020-02-14 to trough 2020-03-25).</w:t>
            </w:r>
          </w:p>
          <w:p>
            <w:r>
              <w:t>1.7 De-smoothed volatility (computed): De-smoothed (Geltner AR1) annualized volatility 2.39% vs 2.07% observed (lag-1 autocorrelation rho 0.139, n=85 monthly returns of the held daily series CCLFX, Yahoo adjusted close, approximates NAV total return with distributions reinvested).</w:t>
            </w:r>
          </w:p>
          <w:p>
            <w:r>
              <w:t>1.8 Risk-adjusted metrics (PME etc) (computed): Meaningful benchmark (paragraph (k)), Senior loan investable proxy (BKLN, for Morningstar LSTA class): KS-PME 1.2532 and Direct Alpha +3.22%/yr over 2019-06-05 to 2026-07-17 (series comparison), fund growth 1.7165x vs proxy growth 1.3697x on two-point flows (one contribution at the window start, one valuation at the end), fund return source: Yahoo adjusted close, approximates NAV total return.</w:t>
            </w:r>
          </w:p>
          <w:p>
            <w:r>
              <w:t>1.9 Stress-window performance (computed): Computed stress-window performance from the held daily series (adjusted close, distributions reinvested).</w:t>
            </w:r>
          </w:p>
          <w:p>
            <w:r>
              <w:t>1.11 Track record &amp; manager tenure (extracted-unverified): Named Portfolio Managers (prospectus 'PORTFOLIO MANAGERS' section): Stephen L. Nesbitt (CEO &amp; CIO of the Investment Manager, primarily responsible for day-to-day management, 'portfolio manager of the Fund since its inception', trustee table shows 'Chief Executive Officer and Chief Investment Officer, Cliffwater LLC (2004 – Present)'), Caitlin Nemeth, Portfolio Manager (joined the Investment Manager in 2021, previously over a decade at Antares Capital/GE Capital), Frances Beyers, Portfolio Manager (head of capital markets group, previously Refinitiv, Churchill Asset Management, JPMorgan), Samir Patel, Portfolio Manager (joined the Investment Manager in 2022, previously Antares Capital/GE Capital, RSM, Deloitte).</w:t>
            </w:r>
          </w:p>
          <w:p>
            <w:r>
              <w:t>1.12 Peer comparison (paragraphs (g) and (h)) (computed): Peer comparison (paragraphs (g) and (h)): private credit cohort, peers Blackstone Private Credit Fund, PIMCO Flexible Credit Income Fund, CION Ares Diversified Credit Fund, Blue Owl Credit Income Corp., fund return basis Yahoo adjusted close, approximates NAV total return (CCLFX).</w:t>
            </w:r>
          </w:p>
          <w:p>
            <w:r>
              <w:t>Not applicable: 1.5 underlying fund/GP-level returns are LP-only reporting, filings disclose holdings at fair value (see 3.4/SOI and N-CSR Note 13), not underlying fund IRRs. 1.10 listed-CEF only.</w:t>
            </w:r>
          </w:p>
        </w:tc>
      </w:tr>
      <w:tr>
        <w:trPr>
          <w:cantSplit/>
        </w:trPr>
        <w:tc>
          <w:tcPr>
            <w:tcW w:type="dxa" w:w="1728"/>
          </w:tcPr>
          <w:p>
            <w:r>
              <w:t>2. Fees (h)</w:t>
            </w:r>
          </w:p>
        </w:tc>
        <w:tc>
          <w:tcPr>
            <w:tcW w:type="dxa" w:w="7632"/>
          </w:tcPr>
          <w:p>
            <w:r>
              <w:t>On fees and expenses (h), the management fee is 1.00% on net assets (cell 2.1), the expense ratio is 1.36% (before waivers, excluding interest expense (3.31% including interest, FY2026)) (cell 2.3) and the early repurchase fee is none (cell 2.7).</w:t>
            </w:r>
          </w:p>
          <w:p>
            <w:r>
              <w:t>Facts on record: 2.1 1.00% on net assets. 2.3 1.36% expense ratio, before waivers, excluding interest expense (3.31% including interest, FY2026).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 credit cohort):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11.7% of the position per year (the plan record) and the structural verdict is partial with the scenario verdict conditional-weak under this plan (ILLUSTRATIVE, cell 3.9).</w:t>
            </w:r>
          </w:p>
          <w:p>
            <w:r>
              <w:t>Facts on record: 3.1 quarterly dealing, 5% cap per quarter on outstanding shares. 3.9 structural verdict partial, plan-independent.</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 ET on 5/29/2026, Repurchase Pricing Date the SAME day, 5/29/2026 (NAV as of NYSE close), payment within seven (7) calendar days of the Pricing Date, reference NAV on 5/5/2026 was $10.39/share, offer size up to 5% of outstanding shares, no repurchase fee (cell 2.7).</w:t>
            </w:r>
          </w:p>
          <w:p>
            <w:r>
              <w:t>3.4 Portfolio liquidity profile (extracted-unverified): As of March 31, 2026 (N-CSR): fair value hierarchy table, Level 3 investments $27,306,832,701 of $39,962,131,663 total investments at fair value, plus $11,508,152,570 measured at NAV as practical expedient, Level 1 $547,782,011 (incl. Short-Term Investments $472,301,989), Level 2 $599,364,381.</w:t>
            </w:r>
          </w:p>
          <w:p>
            <w:r>
              <w:t>3.6 Fund leverage &amp; facilities (partial): Senior secured notes + revolving credit facility, $39.96B of holdings pledged as collateral at 3/31/2026 (vs $31.26B net assets -&gt; roughly $8-9B leverage implied).</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daily (the registry descriptors) and the auditor is Cohen &amp; Company, Ltd. (cell 4.5).</w:t>
            </w:r>
          </w:p>
          <w:p>
            <w:r>
              <w:t>Facts on record: 4.5 Cohen &amp; Company, Ltd.</w:t>
            </w:r>
          </w:p>
          <w:p>
            <w:r>
              <w:t>4.1 Valuation policy &amp; NAV frequency (extracted-unverified): NAV frequency: daily,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independent registered public accounting firm (PCAOB-registered).</w:t>
            </w:r>
          </w:p>
          <w:p>
            <w:r>
              <w:t>4.6 NAV restatement history (extracted-unverified): None identified: searched 'restat', 'error correction', and 'reprocess' across the N-CSR (FY2026), the 486BPOS (2025-07-29), the 424B3 (2025-08-12) and the N-23C3A (2026-05-08) text on disk, and searched all 12 raw HTML/XML filings on disk for this fund (including the seven other N-23C3A filings and NPORT-P), the only 'restat' hits are 'Amended and Restated' document titles,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textbook appraisal-NAV smoothing signature.</w:t>
            </w:r>
          </w:p>
          <w:p>
            <w:r>
              <w:t>Not applicable: 4.7 no market price exists for a non-listed NAV-transaction wrapper, premium/discount undefined. 4.9 CIT only.</w:t>
            </w:r>
          </w:p>
        </w:tc>
      </w:tr>
      <w:tr>
        <w:trPr>
          <w:cantSplit/>
        </w:trPr>
        <w:tc>
          <w:tcPr>
            <w:tcW w:type="dxa" w:w="1728"/>
          </w:tcPr>
          <w:p>
            <w:r>
              <w:t>5. Performance Benchmarks (k)</w:t>
            </w:r>
          </w:p>
        </w:tc>
        <w:tc>
          <w:tcPr>
            <w:tcW w:type="dxa" w:w="7632"/>
          </w:tcPr>
          <w:p>
            <w:r>
              <w:t>On performance benchmarks (k), the meaningful benchmark is Senior loan investable proxy (BKLN, for Morningstar LSTA class), scored 7 of 10 (cell 5.3) and KS-PME 1.2532 and Direct Alpha 3.22%/yr over 2019-06-05 to 2026-07-17 (cell 1.8).</w:t>
            </w:r>
          </w:p>
          <w:p>
            <w:r>
              <w:t>Facts on record: 5.3 BKLN selected, 7 of 10.</w:t>
            </w:r>
          </w:p>
          <w:p>
            <w:r>
              <w:t>5.1 Self-declared benchmark (extracted-unverified): CORRECTED per crosscheck: the fund EXPRESSLY DECLARES NO designated performance benchmark.</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meaningful benchmark): window 2019-06-05 to 2026-07-17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and cells 6.6 and 6.8 are advisor-completed under paragraph (l).</w:t>
            </w:r>
          </w:p>
          <w:p>
            <w:r>
              <w:t>Facts on record: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consistent current income, secondary, capital preservation.</w:t>
            </w:r>
          </w:p>
          <w:p>
            <w:r>
              <w:t>6.3 Conflicts &amp; affiliated transactions (extracted-unverified): Conflicts: dedicated 'CONFLICTS OF INTEREST' section,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searched 486BPOS 2025-07-29, 424B3 2025-08-12 and N-CSR 2026-06-08 for '1099' / 'K-1' / 'Schedule K': zero hits.</w:t>
            </w:r>
          </w:p>
          <w:p>
            <w:r>
              <w:t>6.5 Service-provider web (extracted-unverified): As printed on the prospectus service-provider page (dated July 29, 2025): Investment Manager, Cliffwater LLC, 4640 Admiralty Way, 11th Floor, Marina del Rey, CA, Transfer Agent/Administrator, UMB Fund Services, Inc., 235 West Galena Street, Milwaukee, WI, Custodian Bank, State Street Bank and Trust Company, 1 Iron Street, Boston, MA, Distributor, Foreside Fund Services, LLC, Three Canal Plaza, Suite 100, Portland, ME (also named on cover as principal underwriter on a best-efforts basis), Independent Registered Public Accounting Firm, Cohen &amp; Company, Ltd., 1350 Euclid Avenue, Suite 800, Cleveland, OH, Fund Counsel, Faegre Drinker Biddle &amp; Reath LLP, One Logan Square, Suite 2000, Philadelphia, PA.</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1.00% on net assets</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1.36% expense ratio, before waivers, excluding interest expense (3.31% including interest, FY2026)</w:t>
            </w:r>
          </w:p>
        </w:tc>
        <w:tc>
          <w:tcPr>
            <w:tcW w:type="dxa" w:w="2880"/>
          </w:tcPr>
          <w:p>
            <w:r>
              <w:t>extracted-unverified</w:t>
            </w:r>
          </w:p>
        </w:tc>
      </w:tr>
      <w:tr>
        <w:trPr>
          <w:cantSplit/>
        </w:trPr>
        <w:tc>
          <w:tcPr>
            <w:tcW w:type="dxa" w:w="2880"/>
          </w:tcPr>
          <w:p>
            <w:r>
              <w:t>2.4 AFFE</w:t>
            </w:r>
          </w:p>
        </w:tc>
        <w:tc>
          <w:tcPr>
            <w:tcW w:type="dxa" w:w="3600"/>
          </w:tcPr>
          <w:p>
            <w:r>
              <w:t>AFFE 0.25%</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no fact on record for this cell</w:t>
            </w:r>
          </w:p>
        </w:tc>
        <w:tc>
          <w:tcPr>
            <w:tcW w:type="dxa" w:w="2880"/>
          </w:tcPr>
          <w:p>
            <w:r>
              <w:t>partial</w:t>
            </w:r>
          </w:p>
        </w:tc>
      </w:tr>
    </w:tbl>
    <w:p>
      <w:pPr>
        <w:pStyle w:val="Heading1"/>
        <w:keepNext/>
      </w:pPr>
      <w:r>
        <w:t>Benchmark selection and justification</w:t>
      </w:r>
    </w:p>
    <w:p>
      <w:r>
        <w:t>Return basis for every comparison in this section: Yahoo adjusted close, approximates NAV total return (CCLFX).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1.2532, Direct Alpha 3.22%/yr, 2019-06-05 to 2026-07-17</w:t>
            </w:r>
          </w:p>
        </w:tc>
      </w:tr>
      <w:tr>
        <w:trPr>
          <w:cantSplit/>
        </w:trPr>
        <w:tc>
          <w:tcPr>
            <w:tcW w:type="dxa" w:w="1584"/>
          </w:tcPr>
          <w:p>
            <w:r>
              <w:t>SEC-required comparator</w:t>
            </w:r>
          </w:p>
        </w:tc>
        <w:tc>
          <w:tcPr>
            <w:tcW w:type="dxa" w:w="2736"/>
          </w:tcPr>
          <w:p>
            <w:r>
              <w:t>Morningstar LSTA US Leveraged Loan</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SEC-required comparator</w:t>
            </w:r>
          </w:p>
        </w:tc>
        <w:tc>
          <w:tcPr>
            <w:tcW w:type="dxa" w:w="2736"/>
          </w:tcPr>
          <w:p>
            <w:r>
              <w:t>Bloomberg US Aggregate</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1.0613, annualized excess return 1.2%/yr (not a public market equivalent), 2021 to 2025</w:t>
            </w:r>
          </w:p>
        </w:tc>
      </w:tr>
      <w:tr>
        <w:trPr>
          <w:cantSplit/>
        </w:trPr>
        <w:tc>
          <w:tcPr>
            <w:tcW w:type="dxa" w:w="1584"/>
          </w:tcPr>
          <w:p>
            <w:r>
              <w:t>rejected</w:t>
            </w:r>
          </w:p>
        </w:tc>
        <w:tc>
          <w:tcPr>
            <w:tcW w:type="dxa" w:w="2736"/>
          </w:tcPr>
          <w:p>
            <w:r>
              <w:t>Cliffwater Direct Lending Index (CDLI)</w:t>
            </w:r>
          </w:p>
        </w:tc>
        <w:tc>
          <w:tcPr>
            <w:tcW w:type="dxa" w:w="1584"/>
          </w:tcPr>
          <w:p>
            <w:r>
              <w:t>published strategy index</w:t>
            </w:r>
          </w:p>
        </w:tc>
        <w:tc>
          <w:tcPr>
            <w:tcW w:type="dxa" w:w="864"/>
          </w:tcPr>
          <w:p>
            <w:r>
              <w:t>6 of 10</w:t>
            </w:r>
          </w:p>
        </w:tc>
        <w:tc>
          <w:tcPr>
            <w:tcW w:type="dxa" w:w="2592"/>
          </w:tcPr>
          <w:p>
            <w:r>
              <w:t>rejected: affiliated provider (score 6 of 10), an index published by the fund's own adviser is ineligible for the meaningful-benchmark slot</w:t>
            </w:r>
          </w:p>
        </w:tc>
      </w:tr>
      <w:tr>
        <w:trPr>
          <w:cantSplit/>
        </w:trPr>
        <w:tc>
          <w:tcPr>
            <w:tcW w:type="dxa" w:w="1584"/>
          </w:tcPr>
          <w:p>
            <w:r>
              <w:t>rejected</w:t>
            </w:r>
          </w:p>
        </w:tc>
        <w:tc>
          <w:tcPr>
            <w:tcW w:type="dxa" w:w="2736"/>
          </w:tcPr>
          <w:p>
            <w:r>
              <w:t>Bloomberg US Aggregate Bond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Credit Suisse Leveraged Loan Index (CSLLI)</w:t>
            </w:r>
          </w:p>
        </w:tc>
        <w:tc>
          <w:tcPr>
            <w:tcW w:type="dxa" w:w="1584"/>
          </w:tcPr>
          <w:p>
            <w:r>
              <w:t>published strategy index</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Senior loan investable proxy (BKLN, for Morningstar LSTA class) (score 7 of 10)</w:t>
      </w:r>
    </w:p>
    <w:p>
      <w:r>
        <w:t>Window 2019-06-05 to 2026-07-17: fund 7.89%/yr (Yahoo adjusted close, approximates NAV total return) vs the benchmark 4.52%/yr, KS-PME 1.2532, Direct Alpha 3.22%/yr. Disclosure: PME and alpha computed on appraisal-lagged NAVs are window-sensitive and can be smoothing-flattered. Conclusions should be read with the methodology's window-sensitivity analysis. Reconciliation: the filed since-inception annualized return is 9.34% (average annual total return since inception on 6/5/2019 to 3/31/2026 as printed in the N-CSR, cell 1.2) and the held series annualizes to 7.89%/yr over 2019-06-05 to 2026-07-17. The two differ by end date, by the adjusted-close reinvestment convention against the fund's own total-return calculation, and by share class. Neither is restated and the comparison uses the series.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r>
        <w:t>Selection recorded 2026-09-04, record 1da9dd45. Rubric v3.1. The full record hash is 1da9dd45ffa8f987acfa89e2e0a7018c026c41ee7e43bbcb151ae793d0897fd3.</w:t>
      </w:r>
    </w:p>
    <w:p>
      <w:pPr>
        <w:pStyle w:val="ListBullet"/>
      </w:pPr>
      <w:r>
        <w:t>Strategy match 2 of 3: the public-market version of the asset class (syndicated loans for direct lending)</w:t>
      </w:r>
    </w:p>
    <w:p>
      <w:pPr>
        <w:pStyle w:val="ListBullet"/>
      </w:pPr>
      <w:r>
        <w:t>Risk and liquidity match 1 of 3: daily-liquid market series against a semi-liquid NAV fund (quarterly dealing at NAV under 5% cap per quarter): volatility and liquidity regimes differ, the PME construct exists for exactly this comparison</w:t>
      </w:r>
    </w:p>
    <w:p>
      <w:pPr>
        <w:pStyle w:val="ListBullet"/>
      </w:pPr>
      <w:r>
        <w:t>Provider independence 2 of 2: provider unaffiliated with the fund (Invesco / Morningstar LSTA class): the registry affiliation map ties it to none of the fund's advisers</w:t>
      </w:r>
    </w:p>
    <w:p>
      <w:pPr>
        <w:pStyle w:val="ListBullet"/>
      </w:pPr>
      <w:r>
        <w:t>Data held 2 of 2: daily public market series held (exchange-traded proxy, Yahoo adjusted close)</w:t>
      </w:r>
    </w:p>
    <w:p>
      <w:pPr>
        <w:pStyle w:val="Heading2"/>
        <w:keepNext/>
      </w:pPr>
      <w:r>
        <w:t>Declared benchmark and SEC-required comparators (cell 5.1)</w:t>
      </w:r>
    </w:p>
    <w:p>
      <w:r>
        <w:t>SEC-required comparator: Morningstar LSTA US Leveraged Loan, cited, not held, scored 5 of 10, below the threshold. The declaration itself earns no points.</w:t>
      </w:r>
    </w:p>
    <w:p>
      <w:r>
        <w:t>No comparison: cited, series not in the record: no comparison computed.</w:t>
      </w:r>
    </w:p>
    <w:p>
      <w:r>
        <w:t>SEC-required comparator: Bloomberg US Aggregate, cited, not held, scored 5 of 10, below the threshold. The declaration itself earns no points.</w:t>
      </w:r>
    </w:p>
    <w:p>
      <w:r>
        <w:t>No comparison: cited, series not in the record: no comparison computed.</w:t>
      </w:r>
    </w:p>
    <w:p>
      <w:r>
        <w:t>Declared benchmark: none. cell 5.1: the fund expressly declares no designated performance benchmark.</w:t>
      </w:r>
    </w:p>
    <w:p>
      <w:pPr>
        <w:pStyle w:val="Heading2"/>
        <w:keepNext/>
      </w:pPr>
      <w:r>
        <w:t>Peer comparison (paragraphs (g) and (h)): private credit cohort</w:t>
      </w:r>
    </w:p>
    <w:p>
      <w:r>
        <w:t>Peers: Blackstone Private Credit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9.25%/yr (Yahoo adjusted close, approximates NAV total return) vs the peer composite 7.96%/yr, relative wealth ratio 1.0613, annualized excess return 1.2%/yr.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Blackstone Private Credit Fund: filed calendar-year returns (December fiscal year), PIMCO Flexible Credit Income Fund: Yahoo adjusted close, approximates NAV total return, CION Ares Diversified Credit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CION Ares Diversified Credit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n/a</w:t>
            </w:r>
          </w:p>
        </w:tc>
        <w:tc>
          <w:tcPr>
            <w:tcW w:type="dxa" w:w="1498"/>
          </w:tcPr>
          <w:p>
            <w:r>
              <w:t>n/a</w:t>
            </w:r>
          </w:p>
        </w:tc>
        <w:tc>
          <w:tcPr>
            <w:tcW w:type="dxa" w:w="1498"/>
          </w:tcPr>
          <w:p>
            <w:r>
              <w:t>2.86%</w:t>
            </w:r>
          </w:p>
        </w:tc>
        <w:tc>
          <w:tcPr>
            <w:tcW w:type="dxa" w:w="1498"/>
          </w:tcPr>
          <w:p>
            <w:r>
              <w:t>4.45%</w:t>
            </w:r>
          </w:p>
        </w:tc>
        <w:tc>
          <w:tcPr>
            <w:tcW w:type="dxa" w:w="1498"/>
          </w:tcPr>
          <w:p>
            <w:r>
              <w:t>n/a</w:t>
            </w:r>
          </w:p>
        </w:tc>
      </w:tr>
      <w:tr>
        <w:trPr>
          <w:cantSplit/>
        </w:trPr>
        <w:tc>
          <w:tcPr>
            <w:tcW w:type="dxa" w:w="1296"/>
          </w:tcPr>
          <w:p>
            <w:r>
              <w:t>2019</w:t>
            </w:r>
          </w:p>
        </w:tc>
        <w:tc>
          <w:tcPr>
            <w:tcW w:type="dxa" w:w="576"/>
          </w:tcPr>
          <w:p>
            <w:r>
              <w:t>2</w:t>
            </w:r>
          </w:p>
        </w:tc>
        <w:tc>
          <w:tcPr>
            <w:tcW w:type="dxa" w:w="1498"/>
          </w:tcPr>
          <w:p>
            <w:r>
              <w:t>n/a</w:t>
            </w:r>
          </w:p>
        </w:tc>
        <w:tc>
          <w:tcPr>
            <w:tcW w:type="dxa" w:w="1498"/>
          </w:tcPr>
          <w:p>
            <w:r>
              <w:t>n/a</w:t>
            </w:r>
          </w:p>
        </w:tc>
        <w:tc>
          <w:tcPr>
            <w:tcW w:type="dxa" w:w="1498"/>
          </w:tcPr>
          <w:p>
            <w:r>
              <w:t>10.63%</w:t>
            </w:r>
          </w:p>
        </w:tc>
        <w:tc>
          <w:tcPr>
            <w:tcW w:type="dxa" w:w="1498"/>
          </w:tcPr>
          <w:p>
            <w:r>
              <w:t>9.5%</w:t>
            </w:r>
          </w:p>
        </w:tc>
        <w:tc>
          <w:tcPr>
            <w:tcW w:type="dxa" w:w="1498"/>
          </w:tcPr>
          <w:p>
            <w:r>
              <w:t>n/a</w:t>
            </w:r>
          </w:p>
        </w:tc>
      </w:tr>
      <w:tr>
        <w:trPr>
          <w:cantSplit/>
        </w:trPr>
        <w:tc>
          <w:tcPr>
            <w:tcW w:type="dxa" w:w="1296"/>
          </w:tcPr>
          <w:p>
            <w:r>
              <w:t>2020</w:t>
            </w:r>
          </w:p>
        </w:tc>
        <w:tc>
          <w:tcPr>
            <w:tcW w:type="dxa" w:w="576"/>
          </w:tcPr>
          <w:p>
            <w:r>
              <w:t>3</w:t>
            </w:r>
          </w:p>
        </w:tc>
        <w:tc>
          <w:tcPr>
            <w:tcW w:type="dxa" w:w="1498"/>
          </w:tcPr>
          <w:p>
            <w:r>
              <w:t>5.39%</w:t>
            </w:r>
          </w:p>
        </w:tc>
        <w:tc>
          <w:tcPr>
            <w:tcW w:type="dxa" w:w="1498"/>
          </w:tcPr>
          <w:p>
            <w:r>
              <w:t>n/a</w:t>
            </w:r>
          </w:p>
        </w:tc>
        <w:tc>
          <w:tcPr>
            <w:tcW w:type="dxa" w:w="1498"/>
          </w:tcPr>
          <w:p>
            <w:r>
              <w:t>4.29%</w:t>
            </w:r>
          </w:p>
        </w:tc>
        <w:tc>
          <w:tcPr>
            <w:tcW w:type="dxa" w:w="1498"/>
          </w:tcPr>
          <w:p>
            <w:r>
              <w:t>2.79%</w:t>
            </w:r>
          </w:p>
        </w:tc>
        <w:tc>
          <w:tcPr>
            <w:tcW w:type="dxa" w:w="1498"/>
          </w:tcPr>
          <w:p>
            <w:r>
              <w:t>n/a</w:t>
            </w:r>
          </w:p>
        </w:tc>
      </w:tr>
      <w:tr>
        <w:trPr>
          <w:cantSplit/>
        </w:trPr>
        <w:tc>
          <w:tcPr>
            <w:tcW w:type="dxa" w:w="1296"/>
          </w:tcPr>
          <w:p>
            <w:r>
              <w:t>2021</w:t>
            </w:r>
          </w:p>
        </w:tc>
        <w:tc>
          <w:tcPr>
            <w:tcW w:type="dxa" w:w="576"/>
          </w:tcPr>
          <w:p>
            <w:r>
              <w:t>5</w:t>
            </w:r>
          </w:p>
        </w:tc>
        <w:tc>
          <w:tcPr>
            <w:tcW w:type="dxa" w:w="1498"/>
          </w:tcPr>
          <w:p>
            <w:r>
              <w:t>10.38%</w:t>
            </w:r>
          </w:p>
        </w:tc>
        <w:tc>
          <w:tcPr>
            <w:tcW w:type="dxa" w:w="1498"/>
          </w:tcPr>
          <w:p>
            <w:r>
              <w:t>12.6%</w:t>
            </w:r>
          </w:p>
        </w:tc>
        <w:tc>
          <w:tcPr>
            <w:tcW w:type="dxa" w:w="1498"/>
          </w:tcPr>
          <w:p>
            <w:r>
              <w:t>11.29%</w:t>
            </w:r>
          </w:p>
        </w:tc>
        <w:tc>
          <w:tcPr>
            <w:tcW w:type="dxa" w:w="1498"/>
          </w:tcPr>
          <w:p>
            <w:r>
              <w:t>9.21%</w:t>
            </w:r>
          </w:p>
        </w:tc>
        <w:tc>
          <w:tcPr>
            <w:tcW w:type="dxa" w:w="1498"/>
          </w:tcPr>
          <w:p>
            <w:r>
              <w:t>4.3%</w:t>
            </w:r>
          </w:p>
        </w:tc>
      </w:tr>
      <w:tr>
        <w:trPr>
          <w:cantSplit/>
        </w:trPr>
        <w:tc>
          <w:tcPr>
            <w:tcW w:type="dxa" w:w="1296"/>
          </w:tcPr>
          <w:p>
            <w:r>
              <w:t>2022</w:t>
            </w:r>
          </w:p>
        </w:tc>
        <w:tc>
          <w:tcPr>
            <w:tcW w:type="dxa" w:w="576"/>
          </w:tcPr>
          <w:p>
            <w:r>
              <w:t>5</w:t>
            </w:r>
          </w:p>
        </w:tc>
        <w:tc>
          <w:tcPr>
            <w:tcW w:type="dxa" w:w="1498"/>
          </w:tcPr>
          <w:p>
            <w:r>
              <w:t>2.05%</w:t>
            </w:r>
          </w:p>
        </w:tc>
        <w:tc>
          <w:tcPr>
            <w:tcW w:type="dxa" w:w="1498"/>
          </w:tcPr>
          <w:p>
            <w:r>
              <w:t>3.6%</w:t>
            </w:r>
          </w:p>
        </w:tc>
        <w:tc>
          <w:tcPr>
            <w:tcW w:type="dxa" w:w="1498"/>
          </w:tcPr>
          <w:p>
            <w:r>
              <w:t>-15.36%</w:t>
            </w:r>
          </w:p>
        </w:tc>
        <w:tc>
          <w:tcPr>
            <w:tcW w:type="dxa" w:w="1498"/>
          </w:tcPr>
          <w:p>
            <w:r>
              <w:t>-2.85%</w:t>
            </w:r>
          </w:p>
        </w:tc>
        <w:tc>
          <w:tcPr>
            <w:tcW w:type="dxa" w:w="1498"/>
          </w:tcPr>
          <w:p>
            <w:r>
              <w:t>5.2%</w:t>
            </w:r>
          </w:p>
        </w:tc>
      </w:tr>
      <w:tr>
        <w:trPr>
          <w:cantSplit/>
        </w:trPr>
        <w:tc>
          <w:tcPr>
            <w:tcW w:type="dxa" w:w="1296"/>
          </w:tcPr>
          <w:p>
            <w:r>
              <w:t>2023</w:t>
            </w:r>
          </w:p>
        </w:tc>
        <w:tc>
          <w:tcPr>
            <w:tcW w:type="dxa" w:w="576"/>
          </w:tcPr>
          <w:p>
            <w:r>
              <w:t>5</w:t>
            </w:r>
          </w:p>
        </w:tc>
        <w:tc>
          <w:tcPr>
            <w:tcW w:type="dxa" w:w="1498"/>
          </w:tcPr>
          <w:p>
            <w:r>
              <w:t>12.66%</w:t>
            </w:r>
          </w:p>
        </w:tc>
        <w:tc>
          <w:tcPr>
            <w:tcW w:type="dxa" w:w="1498"/>
          </w:tcPr>
          <w:p>
            <w:r>
              <w:t>14.4%</w:t>
            </w:r>
          </w:p>
        </w:tc>
        <w:tc>
          <w:tcPr>
            <w:tcW w:type="dxa" w:w="1498"/>
          </w:tcPr>
          <w:p>
            <w:r>
              <w:t>9.25%</w:t>
            </w:r>
          </w:p>
        </w:tc>
        <w:tc>
          <w:tcPr>
            <w:tcW w:type="dxa" w:w="1498"/>
          </w:tcPr>
          <w:p>
            <w:r>
              <w:t>12.99%</w:t>
            </w:r>
          </w:p>
        </w:tc>
        <w:tc>
          <w:tcPr>
            <w:tcW w:type="dxa" w:w="1498"/>
          </w:tcPr>
          <w:p>
            <w:r>
              <w:t>13.5%</w:t>
            </w:r>
          </w:p>
        </w:tc>
      </w:tr>
      <w:tr>
        <w:trPr>
          <w:cantSplit/>
        </w:trPr>
        <w:tc>
          <w:tcPr>
            <w:tcW w:type="dxa" w:w="1296"/>
          </w:tcPr>
          <w:p>
            <w:r>
              <w:t>2024</w:t>
            </w:r>
          </w:p>
        </w:tc>
        <w:tc>
          <w:tcPr>
            <w:tcW w:type="dxa" w:w="576"/>
          </w:tcPr>
          <w:p>
            <w:r>
              <w:t>5</w:t>
            </w:r>
          </w:p>
        </w:tc>
        <w:tc>
          <w:tcPr>
            <w:tcW w:type="dxa" w:w="1498"/>
          </w:tcPr>
          <w:p>
            <w:r>
              <w:t>12.62%</w:t>
            </w:r>
          </w:p>
        </w:tc>
        <w:tc>
          <w:tcPr>
            <w:tcW w:type="dxa" w:w="1498"/>
          </w:tcPr>
          <w:p>
            <w:r>
              <w:t>11%</w:t>
            </w:r>
          </w:p>
        </w:tc>
        <w:tc>
          <w:tcPr>
            <w:tcW w:type="dxa" w:w="1498"/>
          </w:tcPr>
          <w:p>
            <w:r>
              <w:t>15.27%</w:t>
            </w:r>
          </w:p>
        </w:tc>
        <w:tc>
          <w:tcPr>
            <w:tcW w:type="dxa" w:w="1498"/>
          </w:tcPr>
          <w:p>
            <w:r>
              <w:t>10.39%</w:t>
            </w:r>
          </w:p>
        </w:tc>
        <w:tc>
          <w:tcPr>
            <w:tcW w:type="dxa" w:w="1498"/>
          </w:tcPr>
          <w:p>
            <w:r>
              <w:t>11.5%</w:t>
            </w:r>
          </w:p>
        </w:tc>
      </w:tr>
      <w:tr>
        <w:trPr>
          <w:cantSplit/>
        </w:trPr>
        <w:tc>
          <w:tcPr>
            <w:tcW w:type="dxa" w:w="1296"/>
          </w:tcPr>
          <w:p>
            <w:r>
              <w:t>2025</w:t>
            </w:r>
          </w:p>
        </w:tc>
        <w:tc>
          <w:tcPr>
            <w:tcW w:type="dxa" w:w="576"/>
          </w:tcPr>
          <w:p>
            <w:r>
              <w:t>5</w:t>
            </w:r>
          </w:p>
        </w:tc>
        <w:tc>
          <w:tcPr>
            <w:tcW w:type="dxa" w:w="1498"/>
          </w:tcPr>
          <w:p>
            <w:r>
              <w:t>8.92%</w:t>
            </w:r>
          </w:p>
        </w:tc>
        <w:tc>
          <w:tcPr>
            <w:tcW w:type="dxa" w:w="1498"/>
          </w:tcPr>
          <w:p>
            <w:r>
              <w:t>8%</w:t>
            </w:r>
          </w:p>
        </w:tc>
        <w:tc>
          <w:tcPr>
            <w:tcW w:type="dxa" w:w="1498"/>
          </w:tcPr>
          <w:p>
            <w:r>
              <w:t>12.2%</w:t>
            </w:r>
          </w:p>
        </w:tc>
        <w:tc>
          <w:tcPr>
            <w:tcW w:type="dxa" w:w="1498"/>
          </w:tcPr>
          <w:p>
            <w:r>
              <w:t>7.69%</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Cliffwater Direct Lending Index (CDLI)</w:t>
            </w:r>
          </w:p>
        </w:tc>
        <w:tc>
          <w:tcPr>
            <w:tcW w:type="dxa" w:w="1008"/>
          </w:tcPr>
          <w:p>
            <w:r>
              <w:t>6 of 10</w:t>
            </w:r>
          </w:p>
        </w:tc>
        <w:tc>
          <w:tcPr>
            <w:tcW w:type="dxa" w:w="5472"/>
          </w:tcPr>
          <w:p>
            <w:r>
              <w:t>rejected: affiliated provider (score 6 of 10), an index published by the fund's own adviser is ineligible for the meaningful-benchmark slot. Criteria: Strategy match 3 of 3: same asset class and sub-strategy (private credit / direct lending), 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 Provider independence 0 of 2: index published by the fund's own adviser (Cliffwater) per the registry affiliation map. A manufacturer-owned yardstick is not an independent comparator and is ineligible for the meaningful-benchmark slot, Data held 0 of 2: cited, series not in the record: no comparison can be computed yet.</w:t>
            </w:r>
          </w:p>
        </w:tc>
      </w:tr>
      <w:tr>
        <w:trPr>
          <w:cantSplit/>
        </w:trPr>
        <w:tc>
          <w:tcPr>
            <w:tcW w:type="dxa" w:w="2880"/>
          </w:tcPr>
          <w:p>
            <w:r>
              <w:t>Bloomberg US Aggregate Bond Index</w:t>
            </w:r>
          </w:p>
        </w:tc>
        <w:tc>
          <w:tcPr>
            <w:tcW w:type="dxa" w:w="1008"/>
          </w:tcPr>
          <w:p>
            <w:r>
              <w:t>5 of 10</w:t>
            </w:r>
          </w:p>
        </w:tc>
        <w:tc>
          <w:tcPr>
            <w:tcW w:type="dxa" w:w="5472"/>
          </w:tcPr>
          <w:p>
            <w:r>
              <w:t>score 5 of 10 below the threshold 6 of 10. Criteria: Strategy match 2 of 3: the public-market version of the asset class (core bonds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(Bloomberg): the registry affiliation map ties it to none of the fund's advisers, Data held 0 of 2: cited, series not in the record: no comparison can be computed yet.</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direct lending),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keepNext/>
      </w:pPr>
      <w:r>
        <w:t>Facts missing for a structural verdict: gating history (N-23C3A filings are offer NOTIFICATIONS, not results. Per-offer proration outcomes not yet evidenced). The verdict stays partial until they are read from the filings.</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N-23C3A filings are offer NOTIFICATIONS, not results. Per-offer proration outcomes not yet evidenced</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not on record: net assets ~$31.26B printed, but the carrying cells (1.1/3.6) are partial, verification unlocks this fact</w:t>
            </w:r>
          </w:p>
        </w:tc>
        <w:tc>
          <w:tcPr>
            <w:tcW w:type="dxa" w:w="1152"/>
          </w:tcPr>
          <w:p>
            <w:r>
              <w:t>3.4</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on record (net assets ~$31.26B printed, but the carrying cells (1.1/3.6) are partial, verification unlocks this fact), so the plan's dollar demand cannot be set against the fund's dollar capacity and the allocation slider is not shown.</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outstanding shares (3.1), quarterly offers (3.1), program active as of 2026-03-31 (3.1), gating history not on record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23, verified 0, computed 13, partial 7, fetched 2, n/a 10, pending 0. 36 of 45 resolved: 23 evidenced, 13 computed, 9 partial, 10 n/a, 0 verified by a person.</w:t>
      </w:r>
    </w:p>
    <w:p>
      <w:r>
        <w:t>Of the 36 resolved cells (structured, extracted-unverified, verified and computed), 36 carry a source document, 36 a section, 23 a verbatim quote (computed cells carry their computation and inputs instead of a quote) and 36 an extractor. 9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N-23C3A 2024-07-15</w:t>
            </w:r>
          </w:p>
        </w:tc>
        <w:tc>
          <w:tcPr>
            <w:tcW w:type="dxa" w:w="4896"/>
          </w:tcPr>
          <w:p>
            <w:r>
              <w:t>accession 0001213900-24-061279</w:t>
            </w:r>
          </w:p>
          <w:p>
            <w:r>
              <w:t>https://www.sec.gov/Archives/edgar/data/1735964/000121390024061279/ea0209299-01_n23c3a.htm</w:t>
            </w:r>
          </w:p>
        </w:tc>
        <w:tc>
          <w:tcPr>
            <w:tcW w:type="dxa" w:w="2592"/>
          </w:tcPr>
          <w:p>
            <w:r>
              <w:t>2.7 (cited as the set of N-23C3A filings, 8 held)</w:t>
            </w:r>
          </w:p>
        </w:tc>
      </w:tr>
      <w:tr>
        <w:trPr>
          <w:cantSplit/>
        </w:trPr>
        <w:tc>
          <w:tcPr>
            <w:tcW w:type="dxa" w:w="1872"/>
          </w:tcPr>
          <w:p>
            <w:r>
              <w:t>N-23C3A 2024-10-15</w:t>
            </w:r>
          </w:p>
        </w:tc>
        <w:tc>
          <w:tcPr>
            <w:tcW w:type="dxa" w:w="4896"/>
          </w:tcPr>
          <w:p>
            <w:r>
              <w:t>accession 0001213900-24-087625</w:t>
            </w:r>
          </w:p>
          <w:p>
            <w:r>
              <w:t>https://www.sec.gov/Archives/edgar/data/1735964/000121390024087625/ea0217326-01_n23c3a.htm</w:t>
            </w:r>
          </w:p>
        </w:tc>
        <w:tc>
          <w:tcPr>
            <w:tcW w:type="dxa" w:w="2592"/>
          </w:tcPr>
          <w:p>
            <w:r>
              <w:t>2.7 (cited as the set of N-23C3A filings, 8 held)</w:t>
            </w:r>
          </w:p>
        </w:tc>
      </w:tr>
      <w:tr>
        <w:trPr>
          <w:cantSplit/>
        </w:trPr>
        <w:tc>
          <w:tcPr>
            <w:tcW w:type="dxa" w:w="1872"/>
          </w:tcPr>
          <w:p>
            <w:r>
              <w:t>N-23C3A 2025-01-17</w:t>
            </w:r>
          </w:p>
        </w:tc>
        <w:tc>
          <w:tcPr>
            <w:tcW w:type="dxa" w:w="4896"/>
          </w:tcPr>
          <w:p>
            <w:r>
              <w:t>accession 0001213900-25-004435</w:t>
            </w:r>
          </w:p>
          <w:p>
            <w:r>
              <w:t>https://www.sec.gov/Archives/edgar/data/1735964/000121390025004435/ea0227783-01_n23c3a.htm</w:t>
            </w:r>
          </w:p>
        </w:tc>
        <w:tc>
          <w:tcPr>
            <w:tcW w:type="dxa" w:w="2592"/>
          </w:tcPr>
          <w:p>
            <w:r>
              <w:t>2.7 (cited as the set of N-23C3A filings, 8 held)</w:t>
            </w:r>
          </w:p>
        </w:tc>
      </w:tr>
      <w:tr>
        <w:trPr>
          <w:cantSplit/>
        </w:trPr>
        <w:tc>
          <w:tcPr>
            <w:tcW w:type="dxa" w:w="1872"/>
          </w:tcPr>
          <w:p>
            <w:r>
              <w:t>N-23C3A 2025-05-08</w:t>
            </w:r>
          </w:p>
        </w:tc>
        <w:tc>
          <w:tcPr>
            <w:tcW w:type="dxa" w:w="4896"/>
          </w:tcPr>
          <w:p>
            <w:r>
              <w:t>accession 0001213900-25-040865</w:t>
            </w:r>
          </w:p>
          <w:p>
            <w:r>
              <w:t>https://www.sec.gov/Archives/edgar/data/1735964/000121390025040865/ea0241107-01_n23c3a.htm</w:t>
            </w:r>
          </w:p>
        </w:tc>
        <w:tc>
          <w:tcPr>
            <w:tcW w:type="dxa" w:w="2592"/>
          </w:tcPr>
          <w:p>
            <w:r>
              <w:t>2.7 (cited as the set of N-23C3A filings, 8 held)</w:t>
            </w:r>
          </w:p>
        </w:tc>
      </w:tr>
      <w:tr>
        <w:trPr>
          <w:cantSplit/>
        </w:trPr>
        <w:tc>
          <w:tcPr>
            <w:tcW w:type="dxa" w:w="1872"/>
          </w:tcPr>
          <w:p>
            <w:r>
              <w:t>486BPOS 2025-07-29</w:t>
            </w:r>
          </w:p>
        </w:tc>
        <w:tc>
          <w:tcPr>
            <w:tcW w:type="dxa" w:w="4896"/>
          </w:tcPr>
          <w:p>
            <w:r>
              <w:t>accession 0001213900-25-068706</w:t>
            </w:r>
          </w:p>
          <w:p>
            <w:r>
              <w:t>https://www.sec.gov/Archives/edgar/data/1735964/000121390025068706/ea0248544-01_486bpos.htm</w:t>
            </w:r>
          </w:p>
        </w:tc>
        <w:tc>
          <w:tcPr>
            <w:tcW w:type="dxa" w:w="2592"/>
          </w:tcPr>
          <w:p>
            <w:r>
              <w:t>1.3, 1.11, 2.4, 2.5, 2.6, 2.7, 3.2, 4.1, 4.6, 6.2, 6.3, 6.4, 6.5</w:t>
            </w:r>
          </w:p>
        </w:tc>
      </w:tr>
      <w:tr>
        <w:trPr>
          <w:cantSplit/>
        </w:trPr>
        <w:tc>
          <w:tcPr>
            <w:tcW w:type="dxa" w:w="1872"/>
          </w:tcPr>
          <w:p>
            <w:r>
              <w:t>N-23C3A 2025-08-07</w:t>
            </w:r>
          </w:p>
        </w:tc>
        <w:tc>
          <w:tcPr>
            <w:tcW w:type="dxa" w:w="4896"/>
          </w:tcPr>
          <w:p>
            <w:r>
              <w:t>accession 0001213900-25-072928</w:t>
            </w:r>
          </w:p>
          <w:p>
            <w:r>
              <w:t>https://www.sec.gov/Archives/edgar/data/1735964/000121390025072928/ea0251882-01_n23c3a.htm</w:t>
            </w:r>
          </w:p>
        </w:tc>
        <w:tc>
          <w:tcPr>
            <w:tcW w:type="dxa" w:w="2592"/>
          </w:tcPr>
          <w:p>
            <w:r>
              <w:t>2.7 (cited as the set of N-23C3A filings, 8 held)</w:t>
            </w:r>
          </w:p>
        </w:tc>
      </w:tr>
      <w:tr>
        <w:trPr>
          <w:cantSplit/>
        </w:trPr>
        <w:tc>
          <w:tcPr>
            <w:tcW w:type="dxa" w:w="1872"/>
          </w:tcPr>
          <w:p>
            <w:r>
              <w:t>N-23C3A 2025-11-06</w:t>
            </w:r>
          </w:p>
        </w:tc>
        <w:tc>
          <w:tcPr>
            <w:tcW w:type="dxa" w:w="4896"/>
          </w:tcPr>
          <w:p>
            <w:r>
              <w:t>accession 0001213900-25-107013</w:t>
            </w:r>
          </w:p>
          <w:p>
            <w:r>
              <w:t>https://www.sec.gov/Archives/edgar/data/1735964/000121390025107013/ea0263913-01_n23c3a.htm</w:t>
            </w:r>
          </w:p>
        </w:tc>
        <w:tc>
          <w:tcPr>
            <w:tcW w:type="dxa" w:w="2592"/>
          </w:tcPr>
          <w:p>
            <w:r>
              <w:t>2.7 (cited as the set of N-23C3A filings, 8 held)</w:t>
            </w:r>
          </w:p>
        </w:tc>
      </w:tr>
      <w:tr>
        <w:trPr>
          <w:cantSplit/>
        </w:trPr>
        <w:tc>
          <w:tcPr>
            <w:tcW w:type="dxa" w:w="1872"/>
          </w:tcPr>
          <w:p>
            <w:r>
              <w:t>N-23C3A 2026-02-05</w:t>
            </w:r>
          </w:p>
        </w:tc>
        <w:tc>
          <w:tcPr>
            <w:tcW w:type="dxa" w:w="4896"/>
          </w:tcPr>
          <w:p>
            <w:r>
              <w:t>accession 0001213900-26-012614</w:t>
            </w:r>
          </w:p>
          <w:p>
            <w:r>
              <w:t>https://www.sec.gov/Archives/edgar/data/1735964/000121390026012614/ea0275339-01_n23c3a.htm</w:t>
            </w:r>
          </w:p>
        </w:tc>
        <w:tc>
          <w:tcPr>
            <w:tcW w:type="dxa" w:w="2592"/>
          </w:tcPr>
          <w:p>
            <w:r>
              <w:t>2.7 (cited as the set of N-23C3A filings, 8 held)</w:t>
            </w:r>
          </w:p>
        </w:tc>
      </w:tr>
      <w:tr>
        <w:trPr>
          <w:cantSplit/>
        </w:trPr>
        <w:tc>
          <w:tcPr>
            <w:tcW w:type="dxa" w:w="1872"/>
          </w:tcPr>
          <w:p>
            <w:r>
              <w:t>N-23C3A 2026-05-08</w:t>
            </w:r>
          </w:p>
        </w:tc>
        <w:tc>
          <w:tcPr>
            <w:tcW w:type="dxa" w:w="4896"/>
          </w:tcPr>
          <w:p>
            <w:r>
              <w:t>accession 0001213900-26-053701</w:t>
            </w:r>
          </w:p>
          <w:p>
            <w:r>
              <w:t>https://www.sec.gov/Archives/edgar/data/1735964/000121390026053701/ea0289460-01_n23c3a.htm</w:t>
            </w:r>
          </w:p>
        </w:tc>
        <w:tc>
          <w:tcPr>
            <w:tcW w:type="dxa" w:w="2592"/>
          </w:tcPr>
          <w:p>
            <w:r>
              <w:t>2.7, 2.7 (cited as the set of N-23C3A filings, 8 held), 3.1, 3.2</w:t>
            </w:r>
          </w:p>
        </w:tc>
      </w:tr>
      <w:tr>
        <w:trPr>
          <w:cantSplit/>
        </w:trPr>
        <w:tc>
          <w:tcPr>
            <w:tcW w:type="dxa" w:w="1872"/>
          </w:tcPr>
          <w:p>
            <w:r>
              <w:t>N-CSR 2026-06-08</w:t>
            </w:r>
          </w:p>
        </w:tc>
        <w:tc>
          <w:tcPr>
            <w:tcW w:type="dxa" w:w="4896"/>
          </w:tcPr>
          <w:p>
            <w:r>
              <w:t>accession 0001213900-26-066324</w:t>
            </w:r>
          </w:p>
          <w:p>
            <w:r>
              <w:t>https://www.sec.gov/Archives/edgar/data/1735964/000121390026066324/ea0291746-01_ncsr.htm</w:t>
            </w:r>
          </w:p>
        </w:tc>
        <w:tc>
          <w:tcPr>
            <w:tcW w:type="dxa" w:w="2592"/>
          </w:tcPr>
          <w:p>
            <w:r>
              <w:t>1.1, 1.2, 1.3, 1.4, 2.1, 2.2, 2.3, 3.4, 3.6, 4.2, 4.3, 4.4, 4.5, 4.8, 5.1, 6.1, 6.4</w:t>
            </w:r>
          </w:p>
        </w:tc>
      </w:tr>
    </w:tbl>
    <w:p>
      <w:pPr>
        <w:keepNext/>
      </w:pPr>
      <w:r>
        <w:t>Cells whose reference does not resolve to a manifest row:</w:t>
      </w:r>
    </w:p>
    <w:p>
      <w:pPr>
        <w:pStyle w:val="ListBullet"/>
      </w:pPr>
      <w:r>
        <w:t>1.6: accession not on record: no filing reference in the source field</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(12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Cliffwater Corporate Lending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Cliffwater Corporate Lending Fund for US media/technology company 401(k) plan (~$570M, New York)</dc:title>
  <dc:subject>Fiduciary Duties in Selecting Designated Investment Alternatives, 91 FR 16088 (Mar. 31, 2026), RIN 1210-AC38, proposed 29 CFR 2550.404a-6, paragraphs (g) to (l)</dc:subject>
  <dc:creator>Tark</dc:creator>
  <cp:keywords>cliffwater_cclfx,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