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Neostellar Capital Corp. (fka SuRo Capital Corp., SSSS) (LISTED BDC (exchange-traded, pre-IPO growth holdings), CIK 1509470). </w:t>
      </w:r>
      <w:r>
        <w:t>Date: 2026-09-04. Status: DRAFT until the committee signs page one. Cells marked extracted-unverified pend independent verification.</w:t>
      </w:r>
    </w:p>
    <w:p>
      <w:pPr>
        <w:pStyle w:val="Heading1"/>
        <w:keepNext/>
      </w:pPr>
      <w:r>
        <w:t>Decision summary</w:t>
      </w:r>
    </w:p>
    <w:p>
      <w:r>
        <w:t>Structural liquidity verdict: ALIGNED-MECHANICAL (dealing terms on record, plan-independent). Scenario verdict under US media/technology company 401(k) plan (~$570M, New York)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Neostellar Capital Corp. out (2: Destiny Tech100 Inc, ARK Venture Fund).</w:t>
      </w:r>
    </w:p>
    <w:p>
      <w:r>
        <w:t>Evidence coverage: 40 of 45 resolved: 27 evidenced, 13 computed, 5 partial, 10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Neostellar Capital Corp. out (2: Destiny Tech100 Inc, ARK Venture Fund)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15 years of history since 2011-01-06 (cell 1.11).</w:t>
            </w:r>
          </w:p>
          <w:p>
            <w:r>
              <w:t>Facts on record: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filings disclose SPV positions at cost vs fair value plus distribution facts, not vehicle-level returns.</w:t>
            </w:r>
          </w:p>
          <w:p>
            <w:r>
              <w:t>1.6 Volatility &amp; max drawdown (computed): Computed from the held daily series NSLR (Yahoo daily close, a market price that includes premium and discount dynamics), 2016-08-15 to 2026-08-14: annualized volatility 47.5% on 120 monthly returns and 47.6% on daily returns, max drawdown -81.97% on the daily series (peak 2021-08-16 to trough 2023-03-17).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Computed stress-window performance from the held daily series (adjusted close, distributions reinvested).</w:t>
            </w:r>
          </w:p>
          <w:p>
            <w:r>
              <w:t>1.10 Market price &amp; premium/discount (extracted-unverified): LISTED BDC,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1.12 Peer comparison (paragraphs (g) and (h)) (computed): Peer comparison (paragraphs (g) and (h)): pre-IPO and venture cohort, peers Destiny Tech100 Inc, ARK Venture Fund, fund return basis Yahoo adjusted close, a market price with distributions reinvested, not NAV (NSLR).</w:t>
            </w:r>
          </w:p>
          <w:p>
            <w:r>
              <w:t>Not applicable: 1.7 market-price series, appraisal-series diagnostic inapplicable.</w:t>
            </w:r>
          </w:p>
        </w:tc>
      </w:tr>
      <w:tr>
        <w:trPr>
          <w:cantSplit/>
        </w:trPr>
        <w:tc>
          <w:tcPr>
            <w:tcW w:type="dxa" w:w="1728"/>
          </w:tcPr>
          <w:p>
            <w:r>
              <w:t>2. Fees (h)</w:t>
            </w:r>
          </w:p>
        </w:tc>
        <w:tc>
          <w:tcPr>
            <w:tcW w:type="dxa" w:w="7632"/>
          </w:tcPr>
          <w:p>
            <w:r>
              <w:t>On fees and expenses (h), the management fee is 1.75% on gross assets incl. borrowings (cell 2.1), the incentive fee is 7% hurdle (cell 2.2) and the expense ratio is 9.46% (net operating expenses under internal management, the fee regime changed 2026-07-15 (FY2025)) (cell 2.3).</w:t>
            </w:r>
          </w:p>
          <w:p>
            <w:r>
              <w:t>Facts on record: 2.1 1.75% on gross assets incl. borrowings. 2.2 incentive fee: 7% hurdle. 2.3 9.46% expense ratio, net operating expenses under internal management, the fee regime changed 2026-07-15 (FY2025). 2.4 AFFE 0.06%.</w:t>
            </w:r>
          </w:p>
          <w:p>
            <w:r>
              <w:t>2.1 Management fee (rate AND base) (extracted-unverified): CURRENT (from Effective Date 7/15/2026): Base Management Fee RATE 1.75% per annum, BASE = GROSS assets (leverage-inclusive fee base,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investors buy/sell on Nasdaq at market (brokerage commissions are investor-side).</w:t>
            </w:r>
          </w:p>
          <w:p>
            <w:r>
              <w:t>2.9 Fee peer percentile (computed): Cohort placement (pre-IPO and venture cohort):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daily on-exchange dealing, no fund-level cap (3.1), no proration is identified in the filings on record (cell 3.3), the plan's filed outflow proxy is 11.7% of the position per year (the plan record) and the structural verdict is aligned-mechanical with the scenario verdict aligned-mechanical under this plan (ILLUSTRATIVE, cell 3.9).</w:t>
            </w:r>
          </w:p>
          <w:p>
            <w:r>
              <w:t>Facts on record: 3.1 on-exchange dealing. 3.3 no gating identified in the filings on record. 3.9 structural verdict aligned-mechanical, plan-independent.</w:t>
            </w:r>
          </w:p>
          <w:p>
            <w:r>
              <w:t>3.1 Wrapper liquidity terms (extracted-unverified): Listed BDC: continuous intraday exchange liquidity on the Nasdaq Global Select Market,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(dealing terms on record, plan-independent). Scenario verdict under this plan (ILLUSTRATIVE): ALIGNED-MECHANICAL. Source: this plan's liquidity match.</w:t>
            </w:r>
          </w:p>
          <w:p>
            <w:r>
              <w:t>Not applicable: 3.5 CIT only.</w:t>
            </w:r>
          </w:p>
        </w:tc>
      </w:tr>
      <w:tr>
        <w:trPr>
          <w:cantSplit/>
        </w:trPr>
        <w:tc>
          <w:tcPr>
            <w:tcW w:type="dxa" w:w="1728"/>
          </w:tcPr>
          <w:p>
            <w:r>
              <w:t>4. Valuation (j)</w:t>
            </w:r>
          </w:p>
        </w:tc>
        <w:tc>
          <w:tcPr>
            <w:tcW w:type="dxa" w:w="7632"/>
          </w:tcPr>
          <w:p>
            <w:r>
              <w:t>On valuation (j), the holder transacts at the market price struck quarterly (the registry descriptors) and the auditor is CBIZ CPAs P.C. (cell 4.5).</w:t>
            </w:r>
          </w:p>
          <w:p>
            <w:r>
              <w:t>Facts on record: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Market Approach (revenue multiples 0.52x-7.95x, wtd avg 3.47x, precedent transactions 25%-100%, wa 76%) + PWERM (revenue multiples 1.42x-5.60x, dissolution risk 100%, precedent transaction 90%), Common stock $46.7M, Market Approach (revenue multiples 0.57x-5.23x, wa 4.99x, precedent 100%, AFFO multiple 8.42x) + PWERM, Options $4.2M, Option Pricing Model (term 0.50-1.36 yrs, wa 0.88, volatility 45-50%, wa 48%) + PWERM + Market Approach, Debt investments $0.76M, Market Approach (revenue multiples 0.57x-5.05x, precedent 25%).</w:t>
            </w:r>
          </w:p>
          <w:p>
            <w:r>
              <w:t>4.5 Auditor &amp; opinion (extracted-unverified): Auditor (signature block): CBIZ CPAs P.C., Boston, MA, PCAOB ID 199 - report dated March 11, 2026, on FY2025 statements and the senior-securities table, tenure line: auditor since 2019, '(such date takes into account the acquisition of the attest business of Marcum LLP by CBIZ CPAs P.C. effective November 1, 2024)'.</w:t>
            </w:r>
          </w:p>
          <w:p>
            <w:r>
              <w:t>4.6 NAV restatement history (extracted-unverified): None identified: searched 'restat' and 'error correction' across all three on-disk filings (10-K FY2025, 10-Q Q2-2026, N-2 2026-07-31).</w:t>
            </w:r>
          </w:p>
          <w:p>
            <w:r>
              <w:t>4.7 Premium/discount check (computed): Premium or discount vs the printed quarterly NAV: -21.7% at the 2026-08-14 close ($10.52 vs NAV $13.44 at 2026-06-30).</w:t>
            </w:r>
          </w:p>
          <w:p>
            <w:r>
              <w:t>Not applicable: 4.8 market-price series, NAV quarterly only. 4.9 CIT only.</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listed BDC (cell 6.1) and cells 6.6 and 6.8 are advisor-completed under paragraph (l).</w:t>
            </w:r>
          </w:p>
          <w:p>
            <w:r>
              <w:t>Facts on record: 6.1 listed BDC.</w:t>
            </w:r>
          </w:p>
          <w:p>
            <w:r>
              <w:t>6.1 Structure map (extracted-unverified): Structure map: Maryland corporation (inc. 1/6/2011), non-diversified closed-end company electing BDC status under the 1940 Act, RIC under Subchapter M, single class of listed common stock (Nasdaq: NSLR, fka SSSS/GSVC) + listed 6.00% Notes (SSSSL) + 6.50% Convertible Notes 2029 + 6.50% Magnetar redeemable note.</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6.1/6.2/6.4/1.10.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1.75% on gross assets incl. borrowings</w:t>
            </w:r>
          </w:p>
        </w:tc>
        <w:tc>
          <w:tcPr>
            <w:tcW w:type="dxa" w:w="2880"/>
          </w:tcPr>
          <w:p>
            <w:r>
              <w:t>extracted-unverified</w:t>
            </w:r>
          </w:p>
        </w:tc>
      </w:tr>
      <w:tr>
        <w:trPr>
          <w:cantSplit/>
        </w:trPr>
        <w:tc>
          <w:tcPr>
            <w:tcW w:type="dxa" w:w="2880"/>
          </w:tcPr>
          <w:p>
            <w:r>
              <w:t>2.2 Incentive fee terms</w:t>
            </w:r>
          </w:p>
        </w:tc>
        <w:tc>
          <w:tcPr>
            <w:tcW w:type="dxa" w:w="3600"/>
          </w:tcPr>
          <w:p>
            <w:r>
              <w:t>incentive fee: 7% hurdle</w:t>
            </w:r>
          </w:p>
        </w:tc>
        <w:tc>
          <w:tcPr>
            <w:tcW w:type="dxa" w:w="2880"/>
          </w:tcPr>
          <w:p>
            <w:r>
              <w:t>extracted-unverified</w:t>
            </w:r>
          </w:p>
        </w:tc>
      </w:tr>
      <w:tr>
        <w:trPr>
          <w:cantSplit/>
        </w:trP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rPr>
          <w:cantSplit/>
        </w:trPr>
        <w:tc>
          <w:tcPr>
            <w:tcW w:type="dxa" w:w="2880"/>
          </w:tcPr>
          <w:p>
            <w:r>
              <w:t>2.4 AFFE</w:t>
            </w:r>
          </w:p>
        </w:tc>
        <w:tc>
          <w:tcPr>
            <w:tcW w:type="dxa" w:w="3600"/>
          </w:tcPr>
          <w:p>
            <w:r>
              <w:t>AFFE 0.06%</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not applicable, the record states why</w:t>
            </w:r>
          </w:p>
        </w:tc>
        <w:tc>
          <w:tcPr>
            <w:tcW w:type="dxa" w:w="2880"/>
          </w:tcPr>
          <w:p>
            <w:r>
              <w:t>n/a, exchange-traded: no investor-level repurchase/redemption exists, so no early-repurchase fee is possible, exit is on-exchange sale at market price</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 market price with distributions reinvested, not NAV (NSLR).</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tc>
      </w:tr>
      <w:tr>
        <w:trPr>
          <w:cantSplit/>
        </w:trPr>
        <w:tc>
          <w:tcPr>
            <w:tcW w:type="dxa" w:w="1584"/>
          </w:tcPr>
          <w:p>
            <w:r>
              <w:t>SEC-required comparator</w:t>
            </w:r>
          </w:p>
        </w:tc>
        <w:tc>
          <w:tcPr>
            <w:tcW w:type="dxa" w:w="2736"/>
          </w:tcPr>
          <w:p>
            <w:r>
              <w:t>S&amp;P 500</w:t>
            </w:r>
          </w:p>
        </w:tc>
        <w:tc>
          <w:tcPr>
            <w:tcW w:type="dxa" w:w="1584"/>
          </w:tcPr>
          <w:p>
            <w:r>
              <w:t>fund-declared benchmark or SEC-required comparator</w:t>
            </w:r>
          </w:p>
        </w:tc>
        <w:tc>
          <w:tcPr>
            <w:tcW w:type="dxa" w:w="864"/>
          </w:tcPr>
          <w:p>
            <w:r/>
          </w:p>
        </w:tc>
        <w:tc>
          <w:tcPr>
            <w:tcW w:type="dxa" w:w="2592"/>
          </w:tcPr>
          <w:p>
            <w:r>
              <w:t>held, scored 5 of 10, fund price decoupled from NAV</w:t>
            </w:r>
          </w:p>
        </w:tc>
      </w:tr>
      <w:tr>
        <w:trPr>
          <w:cantSplit/>
        </w:trPr>
        <w:tc>
          <w:tcPr>
            <w:tcW w:type="dxa" w:w="1584"/>
          </w:tcPr>
          <w:p>
            <w:r>
              <w:t>SEC-required comparator</w:t>
            </w:r>
          </w:p>
        </w:tc>
        <w:tc>
          <w:tcPr>
            <w:tcW w:type="dxa" w:w="2736"/>
          </w:tcPr>
          <w:p>
            <w:r>
              <w:t>Nasdaq Stock Index</w:t>
            </w:r>
          </w:p>
        </w:tc>
        <w:tc>
          <w:tcPr>
            <w:tcW w:type="dxa" w:w="1584"/>
          </w:tcPr>
          <w:p>
            <w:r>
              <w:t>fund-declared benchmark or SEC-required comparator</w:t>
            </w:r>
          </w:p>
        </w:tc>
        <w:tc>
          <w:tcPr>
            <w:tcW w:type="dxa" w:w="864"/>
          </w:tcPr>
          <w:p>
            <w:r/>
          </w:p>
        </w:tc>
        <w:tc>
          <w:tcPr>
            <w:tcW w:type="dxa" w:w="2592"/>
          </w:tcPr>
          <w:p>
            <w:r>
              <w:t>cited, not held, scored 3 of 10, fund price decoupled from NAV</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Neostellar Capital Corp. out (2: Destiny Tech100 Inc, ARK Venture Fund)</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NASDAQ Composite Index</w:t>
            </w:r>
          </w:p>
        </w:tc>
        <w:tc>
          <w:tcPr>
            <w:tcW w:type="dxa" w:w="1584"/>
          </w:tcPr>
          <w:p>
            <w:r>
              <w:t>fund-declared benchmark or SEC-required comparator</w:t>
            </w:r>
          </w:p>
        </w:tc>
        <w:tc>
          <w:tcPr>
            <w:tcW w:type="dxa" w:w="864"/>
          </w:tcPr>
          <w:p>
            <w:r>
              <w:t>3 of 10</w:t>
            </w:r>
          </w:p>
        </w:tc>
        <w:tc>
          <w:tcPr>
            <w:tcW w:type="dxa" w:w="2592"/>
          </w:tcPr>
          <w:p>
            <w:r>
              <w:t>fund price is premium/discount-driven and decoupled from NAV. Benchmarking the price benchmarks the premium, not the portfolio</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SEC-required comparator: S&amp;P 500, held, scored 5 of 10, fund price decoupled from NAV. The declaration itself earns no points.</w:t>
      </w:r>
    </w:p>
    <w:p>
      <w:r>
        <w:t>No comparison: fund price is premium-driven and decoupled from NAV: no comparison on a market-price series, it would benchmark the premium, not the portfolio.</w:t>
      </w:r>
    </w:p>
    <w:p>
      <w:r>
        <w:t>SEC-required comparator: Nasdaq Stock Index, cited, not held, scored 3 of 10, fund price decoupled from NAV. The declaration itself earns no points.</w:t>
      </w:r>
    </w:p>
    <w:p>
      <w:r>
        <w:t>No comparison: fund price is premium-driven and decoupled from NAV: no comparison on a market-price series, it would benchmark the premium, not the portfolio.</w:t>
      </w:r>
    </w:p>
    <w:p>
      <w:r>
        <w:t>Declared benchmark: none. cell 5.1: the 10-K performance graph compares against indices with a printed statement that no appropriate strategy-matched index exists.</w:t>
      </w:r>
    </w:p>
    <w:p>
      <w:pPr>
        <w:pStyle w:val="Heading2"/>
        <w:keepNext/>
      </w:pPr>
      <w:r>
        <w:t>Peer comparison (paragraphs (g) and (h)): pre-IPO and venture cohort</w:t>
      </w:r>
    </w:p>
    <w:p>
      <w:r>
        <w:t>Peers: Destiny Tech100 Inc, ARK Venture Fund. This is the history of similar investments, not the benchmark, and it is never a public market equivalent.</w:t>
      </w:r>
    </w:p>
    <w:p>
      <w:pPr>
        <w:keepNext/>
      </w:pPr>
      <w:r>
        <w:t>Composite refused: fewer than 3 peers remain after leaving Neostellar Capital Corp. out (2: Destiny Tech100 Inc, ARK Venture Fund).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Neostellar Capital Corp.</w:t>
            </w:r>
          </w:p>
        </w:tc>
        <w:tc>
          <w:tcPr>
            <w:tcW w:type="dxa" w:w="2496"/>
          </w:tcPr>
          <w:p>
            <w:r>
              <w:t>Destiny Tech100 Inc</w:t>
            </w:r>
          </w:p>
        </w:tc>
        <w:tc>
          <w:tcPr>
            <w:tcW w:type="dxa" w:w="2496"/>
          </w:tcPr>
          <w:p>
            <w:r>
              <w:t>ARK Venture Fund</w:t>
            </w:r>
          </w:p>
        </w:tc>
      </w:tr>
      <w:tr>
        <w:trPr>
          <w:cantSplit/>
        </w:trPr>
        <w:tc>
          <w:tcPr>
            <w:tcW w:type="dxa" w:w="1296"/>
          </w:tcPr>
          <w:p>
            <w:r>
              <w:t>2017</w:t>
            </w:r>
          </w:p>
        </w:tc>
        <w:tc>
          <w:tcPr>
            <w:tcW w:type="dxa" w:w="576"/>
          </w:tcPr>
          <w:p>
            <w:r>
              <w:t>1</w:t>
            </w:r>
          </w:p>
        </w:tc>
        <w:tc>
          <w:tcPr>
            <w:tcW w:type="dxa" w:w="2496"/>
          </w:tcPr>
          <w:p>
            <w:r>
              <w:t>8.35%</w:t>
            </w:r>
          </w:p>
        </w:tc>
        <w:tc>
          <w:tcPr>
            <w:tcW w:type="dxa" w:w="2496"/>
          </w:tcPr>
          <w:p>
            <w:r>
              <w:t>n/a</w:t>
            </w:r>
          </w:p>
        </w:tc>
        <w:tc>
          <w:tcPr>
            <w:tcW w:type="dxa" w:w="2496"/>
          </w:tcPr>
          <w:p>
            <w:r>
              <w:t>n/a</w:t>
            </w:r>
          </w:p>
        </w:tc>
      </w:tr>
      <w:tr>
        <w:trPr>
          <w:cantSplit/>
        </w:trPr>
        <w:tc>
          <w:tcPr>
            <w:tcW w:type="dxa" w:w="1296"/>
          </w:tcPr>
          <w:p>
            <w:r>
              <w:t>2018</w:t>
            </w:r>
          </w:p>
        </w:tc>
        <w:tc>
          <w:tcPr>
            <w:tcW w:type="dxa" w:w="576"/>
          </w:tcPr>
          <w:p>
            <w:r>
              <w:t>1</w:t>
            </w:r>
          </w:p>
        </w:tc>
        <w:tc>
          <w:tcPr>
            <w:tcW w:type="dxa" w:w="2496"/>
          </w:tcPr>
          <w:p>
            <w:r>
              <w:t>-4.22%</w:t>
            </w:r>
          </w:p>
        </w:tc>
        <w:tc>
          <w:tcPr>
            <w:tcW w:type="dxa" w:w="2496"/>
          </w:tcPr>
          <w:p>
            <w:r>
              <w:t>n/a</w:t>
            </w:r>
          </w:p>
        </w:tc>
        <w:tc>
          <w:tcPr>
            <w:tcW w:type="dxa" w:w="2496"/>
          </w:tcPr>
          <w:p>
            <w:r>
              <w:t>n/a</w:t>
            </w:r>
          </w:p>
        </w:tc>
      </w:tr>
      <w:tr>
        <w:trPr>
          <w:cantSplit/>
        </w:trPr>
        <w:tc>
          <w:tcPr>
            <w:tcW w:type="dxa" w:w="1296"/>
          </w:tcPr>
          <w:p>
            <w:r>
              <w:t>2019</w:t>
            </w:r>
          </w:p>
        </w:tc>
        <w:tc>
          <w:tcPr>
            <w:tcW w:type="dxa" w:w="576"/>
          </w:tcPr>
          <w:p>
            <w:r>
              <w:t>1</w:t>
            </w:r>
          </w:p>
        </w:tc>
        <w:tc>
          <w:tcPr>
            <w:tcW w:type="dxa" w:w="2496"/>
          </w:tcPr>
          <w:p>
            <w:r>
              <w:t>31.56%</w:t>
            </w:r>
          </w:p>
        </w:tc>
        <w:tc>
          <w:tcPr>
            <w:tcW w:type="dxa" w:w="2496"/>
          </w:tcPr>
          <w:p>
            <w:r>
              <w:t>n/a</w:t>
            </w:r>
          </w:p>
        </w:tc>
        <w:tc>
          <w:tcPr>
            <w:tcW w:type="dxa" w:w="2496"/>
          </w:tcPr>
          <w:p>
            <w:r>
              <w:t>n/a</w:t>
            </w:r>
          </w:p>
        </w:tc>
      </w:tr>
      <w:tr>
        <w:trPr>
          <w:cantSplit/>
        </w:trPr>
        <w:tc>
          <w:tcPr>
            <w:tcW w:type="dxa" w:w="1296"/>
          </w:tcPr>
          <w:p>
            <w:r>
              <w:t>2020</w:t>
            </w:r>
          </w:p>
        </w:tc>
        <w:tc>
          <w:tcPr>
            <w:tcW w:type="dxa" w:w="576"/>
          </w:tcPr>
          <w:p>
            <w:r>
              <w:t>1</w:t>
            </w:r>
          </w:p>
        </w:tc>
        <w:tc>
          <w:tcPr>
            <w:tcW w:type="dxa" w:w="2496"/>
          </w:tcPr>
          <w:p>
            <w:r>
              <w:t>116.63%</w:t>
            </w:r>
          </w:p>
        </w:tc>
        <w:tc>
          <w:tcPr>
            <w:tcW w:type="dxa" w:w="2496"/>
          </w:tcPr>
          <w:p>
            <w:r>
              <w:t>n/a</w:t>
            </w:r>
          </w:p>
        </w:tc>
        <w:tc>
          <w:tcPr>
            <w:tcW w:type="dxa" w:w="2496"/>
          </w:tcPr>
          <w:p>
            <w:r>
              <w:t>n/a</w:t>
            </w:r>
          </w:p>
        </w:tc>
      </w:tr>
      <w:tr>
        <w:trPr>
          <w:cantSplit/>
        </w:trPr>
        <w:tc>
          <w:tcPr>
            <w:tcW w:type="dxa" w:w="1296"/>
          </w:tcPr>
          <w:p>
            <w:r>
              <w:t>2021</w:t>
            </w:r>
          </w:p>
        </w:tc>
        <w:tc>
          <w:tcPr>
            <w:tcW w:type="dxa" w:w="576"/>
          </w:tcPr>
          <w:p>
            <w:r>
              <w:t>1</w:t>
            </w:r>
          </w:p>
        </w:tc>
        <w:tc>
          <w:tcPr>
            <w:tcW w:type="dxa" w:w="2496"/>
          </w:tcPr>
          <w:p>
            <w:r>
              <w:t>72.61%</w:t>
            </w:r>
          </w:p>
        </w:tc>
        <w:tc>
          <w:tcPr>
            <w:tcW w:type="dxa" w:w="2496"/>
          </w:tcPr>
          <w:p>
            <w:r>
              <w:t>n/a</w:t>
            </w:r>
          </w:p>
        </w:tc>
        <w:tc>
          <w:tcPr>
            <w:tcW w:type="dxa" w:w="2496"/>
          </w:tcPr>
          <w:p>
            <w:r>
              <w:t>n/a</w:t>
            </w:r>
          </w:p>
        </w:tc>
      </w:tr>
      <w:tr>
        <w:trPr>
          <w:cantSplit/>
        </w:trPr>
        <w:tc>
          <w:tcPr>
            <w:tcW w:type="dxa" w:w="1296"/>
          </w:tcPr>
          <w:p>
            <w:r>
              <w:t>2022</w:t>
            </w:r>
          </w:p>
        </w:tc>
        <w:tc>
          <w:tcPr>
            <w:tcW w:type="dxa" w:w="576"/>
          </w:tcPr>
          <w:p>
            <w:r>
              <w:t>1</w:t>
            </w:r>
          </w:p>
        </w:tc>
        <w:tc>
          <w:tcPr>
            <w:tcW w:type="dxa" w:w="2496"/>
          </w:tcPr>
          <w:p>
            <w:r>
              <w:t>-70.31%</w:t>
            </w:r>
          </w:p>
        </w:tc>
        <w:tc>
          <w:tcPr>
            <w:tcW w:type="dxa" w:w="2496"/>
          </w:tcPr>
          <w:p>
            <w:r>
              <w:t>n/a</w:t>
            </w:r>
          </w:p>
        </w:tc>
        <w:tc>
          <w:tcPr>
            <w:tcW w:type="dxa" w:w="2496"/>
          </w:tcPr>
          <w:p>
            <w:r>
              <w:t>n/a</w:t>
            </w:r>
          </w:p>
        </w:tc>
      </w:tr>
      <w:tr>
        <w:trPr>
          <w:cantSplit/>
        </w:trPr>
        <w:tc>
          <w:tcPr>
            <w:tcW w:type="dxa" w:w="1296"/>
          </w:tcPr>
          <w:p>
            <w:r>
              <w:t>2023</w:t>
            </w:r>
          </w:p>
        </w:tc>
        <w:tc>
          <w:tcPr>
            <w:tcW w:type="dxa" w:w="576"/>
          </w:tcPr>
          <w:p>
            <w:r>
              <w:t>2</w:t>
            </w:r>
          </w:p>
        </w:tc>
        <w:tc>
          <w:tcPr>
            <w:tcW w:type="dxa" w:w="2496"/>
          </w:tcPr>
          <w:p>
            <w:r>
              <w:t>3.68%</w:t>
            </w:r>
          </w:p>
        </w:tc>
        <w:tc>
          <w:tcPr>
            <w:tcW w:type="dxa" w:w="2496"/>
          </w:tcPr>
          <w:p>
            <w:r>
              <w:t>n/a</w:t>
            </w:r>
          </w:p>
        </w:tc>
        <w:tc>
          <w:tcPr>
            <w:tcW w:type="dxa" w:w="2496"/>
          </w:tcPr>
          <w:p>
            <w:r>
              <w:t>61.25%</w:t>
            </w:r>
          </w:p>
        </w:tc>
      </w:tr>
      <w:tr>
        <w:trPr>
          <w:cantSplit/>
        </w:trPr>
        <w:tc>
          <w:tcPr>
            <w:tcW w:type="dxa" w:w="1296"/>
          </w:tcPr>
          <w:p>
            <w:r>
              <w:t>2024</w:t>
            </w:r>
          </w:p>
        </w:tc>
        <w:tc>
          <w:tcPr>
            <w:tcW w:type="dxa" w:w="576"/>
          </w:tcPr>
          <w:p>
            <w:r>
              <w:t>2</w:t>
            </w:r>
          </w:p>
        </w:tc>
        <w:tc>
          <w:tcPr>
            <w:tcW w:type="dxa" w:w="2496"/>
          </w:tcPr>
          <w:p>
            <w:r>
              <w:t>49.24%</w:t>
            </w:r>
          </w:p>
        </w:tc>
        <w:tc>
          <w:tcPr>
            <w:tcW w:type="dxa" w:w="2496"/>
          </w:tcPr>
          <w:p>
            <w:r>
              <w:t>n/a</w:t>
            </w:r>
          </w:p>
        </w:tc>
        <w:tc>
          <w:tcPr>
            <w:tcW w:type="dxa" w:w="2496"/>
          </w:tcPr>
          <w:p>
            <w:r>
              <w:t>6.69%</w:t>
            </w:r>
          </w:p>
        </w:tc>
      </w:tr>
      <w:tr>
        <w:trPr>
          <w:cantSplit/>
        </w:trPr>
        <w:tc>
          <w:tcPr>
            <w:tcW w:type="dxa" w:w="1296"/>
          </w:tcPr>
          <w:p>
            <w:r>
              <w:t>2025</w:t>
            </w:r>
          </w:p>
        </w:tc>
        <w:tc>
          <w:tcPr>
            <w:tcW w:type="dxa" w:w="576"/>
          </w:tcPr>
          <w:p>
            <w:r>
              <w:t>3</w:t>
            </w:r>
          </w:p>
        </w:tc>
        <w:tc>
          <w:tcPr>
            <w:tcW w:type="dxa" w:w="2496"/>
          </w:tcPr>
          <w:p>
            <w:r>
              <w:t>69.91%</w:t>
            </w:r>
          </w:p>
        </w:tc>
        <w:tc>
          <w:tcPr>
            <w:tcW w:type="dxa" w:w="2496"/>
          </w:tcPr>
          <w:p>
            <w:r>
              <w:t>-47.96%</w:t>
            </w:r>
          </w:p>
        </w:tc>
        <w:tc>
          <w:tcPr>
            <w:tcW w:type="dxa" w:w="2496"/>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(listed private equity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(US large cap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(SPDR / S&amp;P DJI): the registry affiliation map ties it to none of the fund's advisers, Data held 2 of 2: daily public market series held (exchange-traded proxy, Yahoo adjusted close).</w:t>
            </w:r>
          </w:p>
        </w:tc>
      </w:tr>
      <w:tr>
        <w:trPr>
          <w:cantSplit/>
        </w:trPr>
        <w:tc>
          <w:tcPr>
            <w:tcW w:type="dxa" w:w="2880"/>
          </w:tcPr>
          <w:p>
            <w:r>
              <w:t>NASDAQ Composite Index</w:t>
            </w:r>
          </w:p>
        </w:tc>
        <w:tc>
          <w:tcPr>
            <w:tcW w:type="dxa" w:w="1008"/>
          </w:tcPr>
          <w:p>
            <w:r>
              <w:t>3 of 10</w:t>
            </w:r>
          </w:p>
        </w:tc>
        <w:tc>
          <w:tcPr>
            <w:tcW w:type="dxa" w:w="5472"/>
          </w:tcPr>
          <w:p>
            <w:r>
              <w:t>fund price is premium/discount-driven and decoupled from NAV. Benchmarking the price benchmarks the premium, not the portfolio. Criteria: Strategy match 1 of 3: adjacent asset class sharing the dominant risk (NASDAQ Composite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(Nasdaq): the registry affiliation map ties it to none of the fund's advisers, Data held 0 of 2: cited, series not in the record: no comparison can be computed yet.</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ALIGNED-MECHANICAL</w:t>
      </w:r>
    </w:p>
    <w:p>
      <w:pPr>
        <w:pStyle w:val="ListBullet"/>
      </w:pPr>
      <w:r>
        <w:t>Daily exchange liquidity mechanically satisfies daily participant dealing (3.1).</w:t>
      </w:r>
    </w:p>
    <w:p>
      <w:pPr>
        <w:pStyle w:val="ListBullet"/>
        <w:keepNext/>
      </w:pPr>
      <w:r>
        <w:t>BUT price-vs-NAV decoupling means participants transact at the premium or discount, not at portfolio value. The liquidity is real, the price basis is not (1.10, 4.7).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listed BDC</w:t>
            </w:r>
          </w:p>
        </w:tc>
        <w:tc>
          <w:tcPr>
            <w:tcW w:type="dxa" w:w="1152"/>
          </w:tcPr>
          <w:p>
            <w:r>
              <w:t>6.1</w:t>
            </w:r>
          </w:p>
        </w:tc>
      </w:tr>
      <w:tr>
        <w:trPr>
          <w:cantSplit/>
        </w:trPr>
        <w:tc>
          <w:tcPr>
            <w:tcW w:type="dxa" w:w="2448"/>
          </w:tcPr>
          <w:p>
            <w:r>
              <w:t>Dealing terms</w:t>
            </w:r>
          </w:p>
        </w:tc>
        <w:tc>
          <w:tcPr>
            <w:tcW w:type="dxa" w:w="5760"/>
          </w:tcPr>
          <w:p>
            <w:r>
              <w:t>daily on-exchange dealing, no fund-level cap (3.1)</w:t>
            </w:r>
          </w:p>
        </w:tc>
        <w:tc>
          <w:tcPr>
            <w:tcW w:type="dxa" w:w="1152"/>
          </w:tcPr>
          <w:p>
            <w:r>
              <w:t>3.1</w:t>
            </w:r>
          </w:p>
        </w:tc>
      </w:tr>
      <w:tr>
        <w:trPr>
          <w:cantSplit/>
        </w:trPr>
        <w:tc>
          <w:tcPr>
            <w:tcW w:type="dxa" w:w="2448"/>
          </w:tcPr>
          <w:p>
            <w:r>
              <w:t>Repurchase caps</w:t>
            </w:r>
          </w:p>
        </w:tc>
        <w:tc>
          <w:tcPr>
            <w:tcW w:type="dxa" w:w="5760"/>
          </w:tcPr>
          <w:p>
            <w:r>
              <w:t>no fund-level cap, capacity is market depth</w:t>
            </w:r>
          </w:p>
        </w:tc>
        <w:tc>
          <w:tcPr>
            <w:tcW w:type="dxa" w:w="1152"/>
          </w:tcPr>
          <w:p>
            <w:r>
              <w:t>3.1</w:t>
            </w:r>
          </w:p>
        </w:tc>
      </w:tr>
      <w:tr>
        <w:trPr>
          <w:cantSplit/>
        </w:trPr>
        <w:tc>
          <w:tcPr>
            <w:tcW w:type="dxa" w:w="2448"/>
          </w:tcPr>
          <w:p>
            <w:r>
              <w:t>Annual capacity (binding cap)</w:t>
            </w:r>
          </w:p>
        </w:tc>
        <w:tc>
          <w:tcPr>
            <w:tcW w:type="dxa" w:w="5760"/>
          </w:tcPr>
          <w:p>
            <w:r>
              <w:t>not on record: on-exchange liquidity with no fund-level cap</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not on record: exchange-listed, no repurchase program</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not applicable (exchange-traded).</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11.7%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10.4% of the position per year, from tail turnover 20%/yr on the 36.1% of accounts that are separated and active turnover 5%/yr on the rest. Shown beside the filed rate, not blended with it, and likewise a selling rate against market depth.</w:t>
      </w:r>
    </w:p>
    <w:p>
      <w:r>
        <w:t>Cited: cell 3.1, cell 3.3, cell 3.7, the plan record on file (Form 5500, plan year 2024-01-01 to 2024-12-31).</w:t>
      </w:r>
    </w:p>
    <w:p>
      <w:pPr>
        <w:pStyle w:val="Heading1"/>
        <w:keepNext/>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13, partial 4, fetched 1, n/a 10, pending 0. 40 of 45 resolved: 27 evidenced, 13 computed, 5 partial, 10 n/a, 0 verified by a person.</w:t>
      </w:r>
    </w:p>
    <w:p>
      <w:r>
        <w:t>Of the 40 resolved cells (structured, extracted-unverified, verified and computed), 40 carry a source document, 40 a section, 27 a verbatim quote (computed cells carry their computation and inputs instead of a quote) and 40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2026-03-11</w:t>
            </w:r>
          </w:p>
        </w:tc>
        <w:tc>
          <w:tcPr>
            <w:tcW w:type="dxa" w:w="4896"/>
          </w:tcPr>
          <w:p>
            <w:r>
              <w:t>accession 0001493152-26-009641</w:t>
            </w:r>
          </w:p>
          <w:p>
            <w:r>
              <w:t>https://www.sec.gov/Archives/edgar/data/1509470/000149315226009641/form10-k.htm</w:t>
            </w:r>
          </w:p>
        </w:tc>
        <w:tc>
          <w:tcPr>
            <w:tcW w:type="dxa" w:w="2592"/>
          </w:tcPr>
          <w:p>
            <w:r>
              <w:t>1.1, 1.2, 1.3, 1.4, 1.10, 1.11, 2.1, 2.3, 3.1, 3.2, 3.3, 3.4, 3.6, 4.1, 4.2, 4.3, 4.4, 4.5, 4.6, 5.1, 6.1, 6.2, 6.3, 6.4, 6.5</w:t>
            </w:r>
          </w:p>
        </w:tc>
      </w:tr>
      <w:tr>
        <w:trPr>
          <w:cantSplit/>
        </w:trPr>
        <w:tc>
          <w:tcPr>
            <w:tcW w:type="dxa" w:w="1872"/>
          </w:tcPr>
          <w:p>
            <w:r>
              <w:t>N-2 2026-07-31</w:t>
            </w:r>
          </w:p>
        </w:tc>
        <w:tc>
          <w:tcPr>
            <w:tcW w:type="dxa" w:w="4896"/>
          </w:tcPr>
          <w:p>
            <w:r>
              <w:t>accession 0001493152-26-035527</w:t>
            </w:r>
          </w:p>
          <w:p>
            <w:r>
              <w:t>https://www.sec.gov/Archives/edgar/data/1509470/000149315226035527/formn-2.htm</w:t>
            </w:r>
          </w:p>
        </w:tc>
        <w:tc>
          <w:tcPr>
            <w:tcW w:type="dxa" w:w="2592"/>
          </w:tcPr>
          <w:p>
            <w:r>
              <w:t>1.10, 1.11, 2.1, 2.2, 2.3, 2.4, 2.6, 3.2, 3.4, 4.1, 4.6, 6.1, 6.2, 6.3, 6.5</w:t>
            </w:r>
          </w:p>
        </w:tc>
      </w:tr>
      <w:tr>
        <w:trPr>
          <w:cantSplit/>
        </w:trPr>
        <w:tc>
          <w:tcPr>
            <w:tcW w:type="dxa" w:w="1872"/>
          </w:tcPr>
          <w:p>
            <w:r>
              <w:t>10-Q 2026-08-06</w:t>
            </w:r>
          </w:p>
        </w:tc>
        <w:tc>
          <w:tcPr>
            <w:tcW w:type="dxa" w:w="4896"/>
          </w:tcPr>
          <w:p>
            <w:r>
              <w:t>accession 0001493152-26-036285</w:t>
            </w:r>
          </w:p>
          <w:p>
            <w:r>
              <w:t>https://www.sec.gov/Archives/edgar/data/1509470/000149315226036285/form10-q.htm</w:t>
            </w:r>
          </w:p>
        </w:tc>
        <w:tc>
          <w:tcPr>
            <w:tcW w:type="dxa" w:w="2592"/>
          </w:tcPr>
          <w:p>
            <w:r>
              <w:t>1.1, 1.2, 1.3, 1.5, 1.10, 2.2, 2.3, 2.5, 3.1, 3.3, 3.4, 3.6, 4.2, 4.6 (matched by form only), 6.1, 6.2, 6.3</w:t>
            </w:r>
          </w:p>
        </w:tc>
      </w:tr>
    </w:tbl>
    <w:p>
      <w:pPr>
        <w:keepNext/>
      </w:pPr>
      <w:r>
        <w:t>Cells whose reference does not resolve to a manifest row:</w:t>
      </w:r>
    </w:p>
    <w:p>
      <w:pPr>
        <w:pStyle w:val="ListBullet"/>
      </w:pPr>
      <w:r>
        <w:t>1.6: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4.7: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Neostellar Capital Corp. (fka SuRo Capital Corp., SSSS)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Neostellar Capital Corp. (fka SuRo Capital Corp., SSSS) for US media/technology company 401(k) plan (~$570M, New York)</dc:title>
  <dc:subject>Fiduciary Duties in Selecting Designated Investment Alternatives, 91 FR 16088 (Mar. 31, 2026), RIN 1210-AC38, proposed 29 CFR 2550.404a-6, paragraphs (g) to (l)</dc:subject>
  <dc:creator>Tark</dc:creator>
  <cp:keywords>ssss,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