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StepStone Private Markets (tender-offer fund ('40 Act), CIK 1789470).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Cambridge Associates US PE benchmark at 8 of 10, cited, series not in the record. Meaningful benchmark by descriptor. No comparison until its series is held. Peer comparison (paragraphs (g) and (h)): relative wealth ratio 0.9423 vs the equal-weight peer composite over FY2023 to FY2026 (years to 03-31) (n=3), not a benchmark and not a PME.</w:t>
      </w:r>
    </w:p>
    <w:p>
      <w:r>
        <w:t>Reference comparison, not the meaningful benchmark: Listed private equity investable proxy (PSP), KS-PME 1.8718, Direct Alpha 13.36%/yr over 2021-03-31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5.5 years of history since 2020-10-01 (cell 1.2), net assets of approx. $5.8B (cell 3.6), a KS-PME of 1.8718 against PSP (cell 1.8) and a relative wealth ratio of 0.9423 against the peer composite (cell 1.12).</w:t>
            </w:r>
          </w:p>
          <w:p>
            <w:r>
              <w:t>Facts on record: 1.2 inception: 2020-10-01. 1.8 KS-PME 1.87 vs PSP (reference, not the benchmark). 1.12 peer relative wealth ratio 0.94, not a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net assets (cell 2.1) and the expense ratio is 1.91% (AFFE excluded (FY2026, Class I)) (cell 2.3).</w:t>
            </w:r>
          </w:p>
          <w:p>
            <w:r>
              <w:t>Facts on record: 2.1 1.40% on net assets. 2.3 1.91% expense ratio, AFFE excluded (FY2026, Class I). 2.4 AFFE 0.59%.</w:t>
            </w:r>
          </w:p>
          <w:p>
            <w:r>
              <w:t>2.1 Management fee (rate AND base) (extracted-unverified): 1.40% annualized on daily NET ASSETS (contrast: PAF charges same 1.40% on MANAGED ASSETS incl. leverage,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outstanding shares. 3.6 $5.8B net assets. 3.9 structural verdict partial, plan-independent.</w:t>
            </w:r>
          </w:p>
          <w:p>
            <w:r>
              <w:t>3.1 Wrapper liquidity terms (extracted-unverified): Quarterly tender offers: up to 5% of OUTSTANDING SHARES (vs PAF's 5% of net assets,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primary benchmark: MSCI World Index.</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secondary purchases of existing interests in operating companies/projects/properties and unaffiliated Investment Funds, incl. Open-Ended Funds, 'Seasoned Investments' (funds already ~25% invested at closing) and stapled secondaries, (2) Co-Investments, direct equity in operating companies alongside lead Investment Managers (Fund holds minority/non-controlling positions), (3) Primary Investments,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rPr>
          <w:cantSplit/>
        </w:trPr>
        <w:tc>
          <w:tcPr>
            <w:tcW w:type="dxa" w:w="2880"/>
          </w:tcPr>
          <w:p>
            <w:r>
              <w:t>2.4 AFFE</w:t>
            </w:r>
          </w:p>
        </w:tc>
        <w:tc>
          <w:tcPr>
            <w:tcW w:type="dxa" w:w="3600"/>
          </w:tcPr>
          <w:p>
            <w:r>
              <w:t>AFFE 0.59%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 fact on record for this cell</w:t>
            </w:r>
          </w:p>
        </w:tc>
        <w:tc>
          <w:tcPr>
            <w:tcW w:type="dxa" w:w="2880"/>
          </w:tcPr>
          <w:p>
            <w:r>
              <w:t>partial</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1.8718, Direct Alpha 13.36%/yr, 2021-03-31 to 2026-03-31</w:t>
            </w:r>
          </w:p>
        </w:tc>
      </w:tr>
      <w:tr>
        <w:trPr>
          <w:cantSplit/>
        </w:trPr>
        <w:tc>
          <w:tcPr>
            <w:tcW w:type="dxa" w:w="1584"/>
          </w:tcPr>
          <w:p>
            <w:r>
              <w:t>Declared benchmark</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1.185, Direct Alpha 3.45%/yr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0.9423, annualized excess return -1.47%/yr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af490314. Rubric v3.1. The full record hash is af490314278ecc3d84d26d4c6d9a62c4f6efbabcbae6d798f8db365a9017e3e5.</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Declared benchmark: MSCI World Index, held, scored 6 of 10, fails the strategy gate (strategy match 1 of 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10.79%/yr (filed fiscal-year returns) vs the peer composite 12.45%/yr, relative wealth ratio 0.9423, annualized excess return -1.47%/yr.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Ares Private Markets Fund: filed fiscal-year returns, AMG Pantheon Fund, LLC: filed fiscal-year returns. Excluded from the composite: KKR Private Equity Conglomerate LLC reports calendar years. StepStone Private Markets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StepStone Private Markets</w:t>
            </w:r>
          </w:p>
        </w:tc>
        <w:tc>
          <w:tcPr>
            <w:tcW w:type="dxa" w:w="1498"/>
          </w:tcPr>
          <w:p>
            <w:r>
              <w:t>Hamilton Lane Private Assets Fund</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29.43%</w:t>
            </w:r>
          </w:p>
        </w:tc>
        <w:tc>
          <w:tcPr>
            <w:tcW w:type="dxa" w:w="1498"/>
          </w:tcPr>
          <w:p>
            <w:r>
              <w:t>20.77%</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8.23%</w:t>
            </w:r>
          </w:p>
        </w:tc>
        <w:tc>
          <w:tcPr>
            <w:tcW w:type="dxa" w:w="1498"/>
          </w:tcPr>
          <w:p>
            <w:r>
              <w:t>16.1%</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13.79%</w:t>
            </w:r>
          </w:p>
        </w:tc>
        <w:tc>
          <w:tcPr>
            <w:tcW w:type="dxa" w:w="1498"/>
          </w:tcPr>
          <w:p>
            <w:r>
              <w:t>12.68%</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10.76%</w:t>
            </w:r>
          </w:p>
        </w:tc>
        <w:tc>
          <w:tcPr>
            <w:tcW w:type="dxa" w:w="1498"/>
          </w:tcPr>
          <w:p>
            <w:r>
              <w:t>12.59%</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10.47%</w:t>
            </w:r>
          </w:p>
        </w:tc>
        <w:tc>
          <w:tcPr>
            <w:tcW w:type="dxa" w:w="1498"/>
          </w:tcPr>
          <w:p>
            <w:r>
              <w:t>14.6%</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(per-offer tendered-vs-purchased counts not printed in on-disk filings. Sept 2025 offer was Board-UPSIZED (demand signal). Proration incidence unevidenced). The verdict stays partial until they are read from the filings.</w:t>
      </w:r>
    </w:p>
    <w:p>
      <w:pPr>
        <w:pStyle w:val="ListBullet"/>
        <w:keepNext/>
      </w:pPr>
      <w:r>
        <w:t>Early repurchase economics: not on record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per-offer tendered-vs-purchased counts not printed in on-disk filings. Sept 2025 offer was Board-UPSIZED (demand signal). Proration incidence unevidenced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$5.8B</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$1.2B per year (20% of approx. $5.8B net assets, cell 3.6). The plan's demand at the filed rate is $3.3M per year, 0.28%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approx. $5.8B net assets (cell 3.6) is $1.2B per year. At a 5% allocation ($28.3M) the plan's demand at the filed rate is $3.3M per year, 0.28%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2026-03-31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multi-strategy (secondaries-led) tender-offer fund,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2025-10-20</w:t>
            </w:r>
          </w:p>
        </w:tc>
        <w:tc>
          <w:tcPr>
            <w:tcW w:type="dxa" w:w="4896"/>
          </w:tcPr>
          <w:p>
            <w:r>
              <w:t>accession 0001193125-25-243390</w:t>
            </w:r>
          </w:p>
          <w:p>
            <w:r>
              <w:t>https://www.sec.gov/Archives/edgar/data/1789470/000119312525243390/d60278d486bpos.htm</w:t>
            </w:r>
          </w:p>
        </w:tc>
        <w:tc>
          <w:tcPr>
            <w:tcW w:type="dxa" w:w="2592"/>
          </w:tcPr>
          <w:p>
            <w:r>
              <w:t>1.11, 2.2, 2.4, 2.5, 2.6, 2.7, 4.3, 6.2, 6.3, 6.4</w:t>
            </w:r>
          </w:p>
        </w:tc>
      </w:tr>
      <w:tr>
        <w:trPr>
          <w:cantSplit/>
        </w:trPr>
        <w:tc>
          <w:tcPr>
            <w:tcW w:type="dxa" w:w="1872"/>
          </w:tcPr>
          <w:p>
            <w:r>
              <w:t>SC TO-I 2026-05-12</w:t>
            </w:r>
          </w:p>
        </w:tc>
        <w:tc>
          <w:tcPr>
            <w:tcW w:type="dxa" w:w="4896"/>
          </w:tcPr>
          <w:p>
            <w:r>
              <w:t>accession 0001193125-26-219013</w:t>
            </w:r>
          </w:p>
          <w:p>
            <w:r>
              <w:t>https://www.sec.gov/Archives/edgar/data/1789470/000119312526219013/na-20260512.htm</w:t>
            </w:r>
          </w:p>
        </w:tc>
        <w:tc>
          <w:tcPr>
            <w:tcW w:type="dxa" w:w="2592"/>
          </w:tcPr>
          <w:p>
            <w:r>
              <w:t>3.1, 3.2</w:t>
            </w:r>
          </w:p>
        </w:tc>
      </w:tr>
      <w:tr>
        <w:trPr>
          <w:cantSplit/>
        </w:trPr>
        <w:tc>
          <w:tcPr>
            <w:tcW w:type="dxa" w:w="1872"/>
          </w:tcPr>
          <w:p>
            <w:r>
              <w:t>N-CSR 2026-06-09</w:t>
            </w:r>
          </w:p>
        </w:tc>
        <w:tc>
          <w:tcPr>
            <w:tcW w:type="dxa" w:w="4896"/>
          </w:tcPr>
          <w:p>
            <w:r>
              <w:t>accession 0001213900-26-066828</w:t>
            </w:r>
          </w:p>
          <w:p>
            <w:r>
              <w:t>https://www.sec.gov/Archives/edgar/data/1789470/000121390026066828/ea0293635-01_ncsr.htm</w:t>
            </w:r>
          </w:p>
        </w:tc>
        <w:tc>
          <w:tcPr>
            <w:tcW w:type="dxa" w:w="2592"/>
          </w:tcPr>
          <w:p>
            <w:r>
              <w:t>1.1, 1.2, 1.3, 1.4, 2.1, 2.3, 2.7, 3.2, 3.3, 3.4, 3.6, 4.1, 4.2, 4.4, 4.5, 4.6, 5.1, 6.1, 6.5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StepStone Private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StepStone Private Markets for US media/technology company 401(k) plan (~$570M, New York)</dc:title>
  <dc:subject>Fiduciary Duties in Selecting Designated Investment Alternatives, 91 FR 16088 (Mar. 31, 2026), RIN 1210-AC38, proposed 29 CFR 2550.404a-6, paragraphs (g) to (l)</dc:subject>
  <dc:creator>Tark</dc:creator>
  <cp:keywords>stepstone_spm,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