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Global management-consulting firm profit-sharing/401(k) plan (~$9.8B, NY)</w:t>
        <w:br/>
      </w:r>
      <w:r>
        <w:t>Product: Ares Private Markets Fund (tender-offer fund ('40 Act), CIK 1876006)</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t>
      </w:r>
    </w:p>
    <w:p>
      <w:r>
        <w:t>Meaningful benchmark (paragraph (k)): Cambridge Associates US PE benchmark at 9/12, no comparison computed (cited, series not in the record: no comparison computed).</w:t>
      </w:r>
    </w:p>
    <w:p>
      <w:r>
        <w:t>Reference comparison, not the meaningful benchmark: Listed private equity investable proxy (PSP), KS-PME 1.5712, Direct Alpha 11.97%/yr over 2022-04-01 to 2026-03-31.</w:t>
      </w:r>
    </w:p>
    <w:p>
      <w:r>
        <w:t>Peer comparison (paragraphs (g) and (h)): 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AMG Pantheon Fund, LLC fiscal years to month 03, Ares Private Markets Fund fiscal years to month 03). A composite needs identical start and end dates for every member.</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AMG Pantheon Fund, LLC fiscal years to month 03, Ares Private Markets Fund fiscal years to month 03). A composite needs identical start and end dates for every member (cell 1.12)</w:t>
      </w:r>
    </w:p>
    <w:p>
      <w:pPr>
        <w:pStyle w:val="ListBullet"/>
      </w:pPr>
      <w:r>
        <w:t>Liquidity: structural verdict partial, facts missing: gate_history (cells 3.1, 3.3)</w:t>
      </w:r>
    </w:p>
    <w:p>
      <w:r>
        <w:t>Evidence coverage: 42 of 42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Cambridge Associates US PE benchmark</w:t>
            </w:r>
          </w:p>
        </w:tc>
        <w:tc>
          <w:tcPr>
            <w:tcW w:type="dxa" w:w="864"/>
          </w:tcPr>
          <w:p>
            <w:r>
              <w:t>9/12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Listed private equity investable proxy (PSP)</w:t>
            </w:r>
          </w:p>
        </w:tc>
        <w:tc>
          <w:tcPr>
            <w:tcW w:type="dxa" w:w="864"/>
          </w:tcPr>
          <w:p>
            <w:r>
              <w:t>8/12</w:t>
            </w:r>
          </w:p>
        </w:tc>
        <w:tc>
          <w:tcPr>
            <w:tcW w:type="dxa" w:w="3888"/>
          </w:tcPr>
          <w:p>
            <w:r>
              <w:t>KS-PME 1.5712, Direct Alpha 11.97%/yr, 2022-04-01 to 2026-03-31</w:t>
            </w:r>
          </w:p>
        </w:tc>
      </w:tr>
      <w:tr>
        <w:tc>
          <w:tcPr>
            <w:tcW w:type="dxa" w:w="1152"/>
          </w:tcPr>
          <w:p>
            <w:r>
              <w:t>SEC-required comparator</w:t>
            </w:r>
          </w:p>
        </w:tc>
        <w:tc>
          <w:tcPr>
            <w:tcW w:type="dxa" w:w="3456"/>
          </w:tcPr>
          <w:p>
            <w:r>
              <w:t>MSCI World Index</w:t>
            </w:r>
          </w:p>
        </w:tc>
        <w:tc>
          <w:tcPr>
            <w:tcW w:type="dxa" w:w="864"/>
          </w:tcPr>
          <w:p>
            <w:r/>
          </w:p>
        </w:tc>
        <w:tc>
          <w:tcPr>
            <w:tcW w:type="dxa" w:w="3888"/>
          </w:tcPr>
          <w:p>
            <w:r>
              <w:t>held, scored 7/12, fails the strategy gate (strategy_match 1/3). KS-PME 1.1283, Direct Alpha 3.07%/yr, 2022-04-01 to 2026-03-31</w:t>
            </w:r>
          </w:p>
        </w:tc>
      </w:tr>
      <w:tr>
        <w:tc>
          <w:tcPr>
            <w:tcW w:type="dxa" w:w="1152"/>
          </w:tcPr>
          <w:p>
            <w:r>
              <w:t>Peer comparison (paragraphs (g) and (h))</w:t>
            </w:r>
          </w:p>
        </w:tc>
        <w:tc>
          <w:tcPr>
            <w:tcW w:type="dxa" w:w="3456"/>
          </w:tcPr>
          <w:p>
            <w:r>
              <w:t>Peer composite, evergreen private equity cohort without Ares Private Markets Fund</w:t>
            </w:r>
          </w:p>
        </w:tc>
        <w:tc>
          <w:tcPr>
            <w:tcW w:type="dxa" w:w="864"/>
          </w:tcPr>
          <w:p>
            <w:r>
              <w:t>not scored</w:t>
            </w:r>
          </w:p>
        </w:tc>
        <w:tc>
          <w:tcPr>
            <w:tcW w:type="dxa" w:w="3888"/>
          </w:tcPr>
          <w:p>
            <w:r>
              <w:t>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AMG Pantheon Fund, LLC fiscal years to month 03, Ares Private Markets Fund fiscal years to month 03). A composite needs identical start and end dates for every member</w:t>
            </w:r>
          </w:p>
        </w:tc>
      </w:tr>
      <w:tr>
        <w:tc>
          <w:tcPr>
            <w:tcW w:type="dxa" w:w="1152"/>
          </w:tcPr>
          <w:p>
            <w:r>
              <w:t>rejected</w:t>
            </w:r>
          </w:p>
        </w:tc>
        <w:tc>
          <w:tcPr>
            <w:tcW w:type="dxa" w:w="3456"/>
          </w:tcPr>
          <w:p>
            <w:r>
              <w:t>Listed private equity investable proxy (PSP)</w:t>
            </w:r>
          </w:p>
        </w:tc>
        <w:tc>
          <w:tcPr>
            <w:tcW w:type="dxa" w:w="864"/>
          </w:tcPr>
          <w:p>
            <w:r>
              <w:t>8/12</w:t>
            </w:r>
          </w:p>
        </w:tc>
        <w:tc>
          <w:tcPr>
            <w:tcW w:type="dxa" w:w="3888"/>
          </w:tcPr>
          <w:p>
            <w:r>
              <w:t>ranked below the selected candidate: 8/12 vs 9/12 for Cambridge PE benchmark</w:t>
            </w:r>
          </w:p>
        </w:tc>
      </w:tr>
      <w:tr>
        <w:tc>
          <w:tcPr>
            <w:tcW w:type="dxa" w:w="1152"/>
          </w:tcPr>
          <w:p>
            <w:r>
              <w:t>rejected</w:t>
            </w:r>
          </w:p>
        </w:tc>
        <w:tc>
          <w:tcPr>
            <w:tcW w:type="dxa" w:w="3456"/>
          </w:tcPr>
          <w:p>
            <w:r>
              <w:t>MSCI World investable proxy (URTH)</w:t>
            </w:r>
          </w:p>
        </w:tc>
        <w:tc>
          <w:tcPr>
            <w:tcW w:type="dxa" w:w="864"/>
          </w:tcPr>
          <w:p>
            <w:r>
              <w:t>7/12</w:t>
            </w:r>
          </w:p>
        </w:tc>
        <w:tc>
          <w:tcPr>
            <w:tcW w:type="dxa" w:w="3888"/>
          </w:tcPr>
          <w:p>
            <w:r>
              <w:t>rejected: strategy gate (score 7/12 but strategy_match 1/3)</w:t>
            </w:r>
          </w:p>
        </w:tc>
      </w:tr>
    </w:tbl>
    <w:p>
      <w:pPr>
        <w:pStyle w:val="Heading1"/>
      </w:pPr>
      <w:r>
        <w:t>Exhibit B. Liquidity match for this plan</w:t>
      </w:r>
    </w:p>
    <w:p>
      <w:r>
        <w:t>Plan: Global management-consulting firm profit-sharing/401(k) plan (~$9.8B, NY).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net assets.</w:t>
      </w:r>
    </w:p>
    <w:p>
      <w:pPr>
        <w:pStyle w:val="ListBullet"/>
      </w:pPr>
      <w:r>
        <w:t>Facts missing for a structural verdict: gate_history (tendered-versus-accepted amounts and proration incidence per offer are not printed (final tender amendments not on disk). Four offers in each of FY2025 and FY2026 establish continuity, not full fills (R2-P1-12 rule)). The verdict stays partial until they are typed from the filings.</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6.1</w:t>
            </w:r>
          </w:p>
        </w:tc>
      </w:tr>
      <w:tr>
        <w:tc>
          <w:tcPr>
            <w:tcW w:type="dxa" w:w="2448"/>
          </w:tcPr>
          <w:p>
            <w:r>
              <w:t>Dealing terms</w:t>
            </w:r>
          </w:p>
        </w:tc>
        <w:tc>
          <w:tcPr>
            <w:tcW w:type="dxa" w:w="5760"/>
          </w:tcPr>
          <w:p>
            <w:r>
              <w:t>quarterly offers, 5% cap per quarter on net assets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tendered-versus-accepted amounts and proration incidence per offer are not printed (final tender amendments not on disk). Four offers in each of FY2025 and FY2026 establish continuity, not full fills (R2-P1-12 rule)</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site, not a fact): tail turnover 20%/yr, active turnover 5%/yr, 13.7% of the position per year = $67.3M/yr, shown beside the filed rate, not blended with it.</w:t>
      </w:r>
    </w:p>
    <w:p>
      <w:r>
        <w:t>Stressed (the filed outflow proxy plus the increment the sliders add under stress (tail turnover x2, active turnover x1.5 over the slider assumption)): demand $94.1M/yr = 19.2% of the position. within wrapper capacity (19.2% vs 20%) IF offers are not prorated.</w:t>
      </w:r>
    </w:p>
    <w:p>
      <w:r>
        <w:t>Fund capacity in dollars: not computable, the fund's net assets are not typed in the record (aggregate net assets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plan_consulting_alumni.json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1.40% on managed assets (leverage-inclusive)</w:t>
            </w:r>
          </w:p>
        </w:tc>
        <w:tc>
          <w:tcPr>
            <w:tcW w:type="dxa" w:w="2880"/>
          </w:tcPr>
          <w:p>
            <w:r>
              <w:t>extracted-unverified</w:t>
            </w:r>
          </w:p>
        </w:tc>
      </w:tr>
      <w:tr>
        <w:tc>
          <w:tcPr>
            <w:tcW w:type="dxa" w:w="2880"/>
          </w:tcPr>
          <w:p>
            <w:r>
              <w:t>2.2 Incentive fee terms</w:t>
            </w:r>
          </w:p>
        </w:tc>
        <w:tc>
          <w:tcPr>
            <w:tcW w:type="dxa" w:w="3600"/>
          </w:tcPr>
          <w:p>
            <w:r>
              <w:t>incentive fee: 12.5%</w:t>
            </w:r>
          </w:p>
        </w:tc>
        <w:tc>
          <w:tcPr>
            <w:tcW w:type="dxa" w:w="2880"/>
          </w:tcPr>
          <w:p>
            <w:r>
              <w:t>extracted-unverified</w:t>
            </w:r>
          </w:p>
        </w:tc>
      </w:tr>
      <w:tr>
        <w:tc>
          <w:tcPr>
            <w:tcW w:type="dxa" w:w="2880"/>
          </w:tcPr>
          <w:p>
            <w:r>
              <w:t>2.3 Total expense ratio &amp; waivers</w:t>
            </w:r>
          </w:p>
        </w:tc>
        <w:tc>
          <w:tcPr>
            <w:tcW w:type="dxa" w:w="3600"/>
          </w:tcPr>
          <w:p>
            <w:r>
              <w:t>5.02% expense ratio, gross, before a 0.03% waiver, including the 1.60% incentive-fee drag, AFFE excluded (FY2026, Class I)</w:t>
            </w:r>
          </w:p>
        </w:tc>
        <w:tc>
          <w:tcPr>
            <w:tcW w:type="dxa" w:w="2880"/>
          </w:tcPr>
          <w:p>
            <w:r>
              <w:t>extracted-unverified</w:t>
            </w:r>
          </w:p>
        </w:tc>
      </w:tr>
      <w:tr>
        <w:tc>
          <w:tcPr>
            <w:tcW w:type="dxa" w:w="2880"/>
          </w:tcPr>
          <w:p>
            <w:r>
              <w:t>2.4 AFFE</w:t>
            </w:r>
          </w:p>
        </w:tc>
        <w:tc>
          <w:tcPr>
            <w:tcW w:type="dxa" w:w="3600"/>
          </w:tcPr>
          <w:p>
            <w:r>
              <w:t>AFFE 1.00%</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Evergreen private equity ('40-Act funds + '34-Act conglomerate) (n=5). Secondaries-led evergreen PE tender-offer fund - wrapper and strategy twin of hl_paf/stepstone_spm.</w:t>
      </w:r>
    </w:p>
    <w:p>
      <w:r>
        <w:t>Cohort placement (evergreen private equity cohort): mgmt fee: 50th percentile of cohort (n=5), at the median of 1.4 | expense ratio (bases differ, see notes): 90th percentile of cohort (n=5), above the median of 3.19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w:t>
      </w:r>
    </w:p>
    <w:p>
      <w:pPr>
        <w:pStyle w:val="Heading1"/>
      </w:pPr>
      <w:r>
        <w:t>Provenance</w:t>
      </w:r>
    </w:p>
    <w:p>
      <w:r>
        <w:t>Cell status for this product: structured 0, extracted-unverified 28, verified 0, computed 11, partial 2,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