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Global management-consulting firm profit-sharing/401(k) plan (~$9.8B, NY)</w:t>
        <w:br/>
      </w:r>
      <w:r>
        <w:t>Product: Cliffwater Corporate Lending Fund (TRUE interval fund (Rule 23c-3), private credit, CIK 1735964)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1.2 inception: 2019-06-05. 1.8 KS-PME 1.25 vs BKLN. 1.12 peer relative wealth ratio 1.06, not a benchmark.</w:t>
            </w:r>
          </w:p>
          <w:p>
            <w:r>
              <w:t>1.1 Net total return series (partial): PARTIAL: NAV/share FY21-FY26: 10.60 / 10.79 / 10.67 / 10.55 / 10.83 / 10.52.</w:t>
            </w:r>
          </w:p>
          <w:p>
            <w:r>
              <w:t>1.2 Trailing &amp; calendar-year returns (extracted-unverified): AATR as of 3/31/2026: 1yr 7.63% / 3yr 10.89% / 5yr 9.79% / SI 9.34% (inception 6/5/2019) vs Morningstar LSTA US Leveraged Loan Index 4.81 / 8.00 / 5.93 / 5.51.</w:t>
            </w:r>
          </w:p>
          <w:p>
            <w:r>
              <w:t>1.3 Gross vs net spread (extracted-unverified): Gross and net are IDENTICAL in recent years - no active waiver.</w:t>
            </w:r>
          </w:p>
          <w:p>
            <w:r>
              <w:t>1.4 Distribution history &amp; composition (extracted-unverified): Class I per-share distributions (Consolidated Financial Highlights): FY ended 3/31/2026 total $(1.09), all from net investment income (return of capital — ; net realized gain — ); FY2025 $(0.90) all NII; FY2024 $(1.45) = $(1.41) NII + $(0.04) ROC; FY2023 $(0.84) = $(0.69) NII + $(0.15) ROC; stub period 1/1/2022–3/31/2022 none; CY2021 $(0.74) = $(0.62) NII + $(0.10) ROC + $(0.02) net realized gain.</w:t>
            </w:r>
          </w:p>
          <w:p>
            <w:r>
              <w:t>1.6 Volatility &amp; max drawdown (computed): Computed from the held daily series CCLFX (Yahoo adjusted close, approximates NAV total return with distributions reinvested), 2019-06-05 to 2026-07-17: annualized volatility 2.07% on 85 monthly returns, max drawdown -3.91% on the daily series (peak 2020-02-14 to trough 2020-03-25).</w:t>
            </w:r>
          </w:p>
          <w:p>
            <w:r>
              <w:t>1.7 De-smoothed volatility (computed): De-smoothed (Geltner AR1) annualized volatility 2.39% vs 2.07% observed (lag-1 autocorrelation rho 0.139, n=85 monthly returns of the held daily series CCLFX, Yahoo adjusted close, approximates NAV total return with distributions reinvested).</w:t>
            </w:r>
          </w:p>
          <w:p>
            <w:r>
              <w:t>1.8 Risk-adjusted metrics (PME etc) (computed): Meaningful benchmark (paragraph (k)), Senior loan investable proxy (BKLN, for Morningstar LSTA class): KS-PME 1.2532 and Direct Alpha +3.22%/yr over 2019-06-05 to 2026-07-17 (series comparison), fund growth 1.7165x vs proxy growth 1.3697x on two-point flows (one contribution at the window start, one valuation at the end), fund return source: Yahoo adjusted close, approximates NAV total return.</w:t>
            </w:r>
          </w:p>
          <w:p>
            <w:r>
              <w:t>1.9 Stress-window performance (computed): Computed stress-window performance from the held daily series (adjusted close, distributions reinvested).</w:t>
            </w:r>
          </w:p>
          <w:p>
            <w:r>
              <w:t>1.11 Track record &amp; manager tenure (extracted-unverified): Named Portfolio Managers (prospectus 'PORTFOLIO MANAGERS' section): Stephen L. Nesbitt (CEO &amp; CIO of the Investment Manager; primarily responsible for day-to-day management; 'portfolio manager of the Fund since its inception'; trustee table shows 'Chief Executive Officer and Chief Investment Officer, Cliffwater LLC (2004 – Present)'); Caitlin Nemeth, Portfolio Manager (joined the Investment Manager in 2021; previously over a decade at Antares Capital/GE Capital); Frances Beyers, Portfolio Manager (head of capital markets group; previously Refinitiv, Churchill Asset Management, JPMorgan); Samir Patel, Portfolio Manager (joined the Investment Manager in 2022; previously Antares Capital/GE Capital, RSM, Deloitte).</w:t>
            </w:r>
          </w:p>
          <w:p>
            <w:r>
              <w:t>1.12 Peer comparison (paragraphs (g) and (h)) (computed): Peer comparison (paragraphs (g) and (h)): private credit cohort, peers Blackstone Private Credit Fund, PIMCO Flexible Credit Income Fund, CION Ares Diversified Credit Fund, Blue Owl Credit Income Corp., fund return basis Yahoo adjusted close, approximates NAV total return (CCLFX).</w:t>
            </w:r>
          </w:p>
          <w:p>
            <w:r>
              <w:t>Not applicable: 1.5 underlying fund/GP-level returns are LP-only reporting; filings disclose holdings at fair value (see 3.4/SOI and N-CSR Note 13), not underlying fund IRRs. 1.10 listed-CEF only.</w:t>
            </w:r>
          </w:p>
        </w:tc>
      </w:tr>
      <w:tr>
        <w:tc>
          <w:tcPr>
            <w:tcW w:type="dxa" w:w="1728"/>
          </w:tcPr>
          <w:p>
            <w:r>
              <w:t>2. Fees (h)</w:t>
            </w:r>
          </w:p>
        </w:tc>
        <w:tc>
          <w:tcPr>
            <w:tcW w:type="dxa" w:w="7632"/>
          </w:tcPr>
          <w:p>
            <w:r>
              <w:t>Typed facts: 2.1 1.00% on net assets. 2.3 1.36% expense ratio, before waivers, excluding interest expense (3.31% including interest, FY2026). 2.4 AFFE 0.25%. 2.7 early repurchase fee: none.</w:t>
            </w:r>
          </w:p>
          <w:p>
            <w:r>
              <w:t>2.1 Management fee (rate AND base) (extracted-unverified): 1.00% annualized on daily NET assets, paid monthly.</w:t>
            </w:r>
          </w:p>
          <w:p>
            <w:r>
              <w:t>2.2 Incentive fee terms (partial): No incentive fee identified in fee note (management fee only).</w:t>
            </w:r>
          </w:p>
          <w:p>
            <w:r>
              <w:t>2.3 Total expense ratio &amp; waivers (extracted-unverified): Expense ratios (before waivers, FY26): 1.36% excluding interest expense; 3.31% including interest expense.</w:t>
            </w:r>
          </w:p>
          <w:p>
            <w:r>
              <w:t>2.4 AFFE (extracted-unverified): Fee table ('FUND FEES AND EXPENSES', Class I Shares, as % of net assets): Management Fees 1.00%; Fees and Interest Payments on Borrowed Funds 1.75%; Acquired Fund Fees and Expenses 0.25%; Other Expenses 0.27%; Total Annual Expenses 3.27%.</w:t>
            </w:r>
          </w:p>
          <w:p>
            <w:r>
              <w:t>2.5 Underlying GP economics (partial): No numeric underlying-fund fee ranges are printed anywhere in the on-disk filings (searched 486BPOS/424B3/N-CSR fee-table footnotes and risk sections for management/incentive ranges - none exist; the AFFE footnote says only that AFFE 'represent estimated amounts that the Fund is currently incurring').</w:t>
            </w:r>
          </w:p>
          <w:p>
            <w:r>
              <w:t>2.6 Loads &amp; servicing fees (extracted-unverified): No sales loads and no distribution/servicing fees.</w:t>
            </w:r>
          </w:p>
          <w:p>
            <w:r>
              <w:t>2.7 Early repurchase fee (extracted-unverified): NO early/repurchase fee is charged.</w:t>
            </w:r>
          </w:p>
          <w:p>
            <w:r>
              <w:t>2.9 Fee peer percentile (computed): Cohort placement (private credit cohort): mgmt fee: 10th percentile of cohort (n=5), below the median of 1.25 | expense ratio (bases differ, see notes): 10th percentile of cohort (n=5), below the median of 3.76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quarterly dealing, 5% cap per quarter on outstanding shares. 3.9 structural verdict partial, plan-independent.</w:t>
            </w:r>
          </w:p>
          <w:p>
            <w:r>
              <w:t>3.1 Wrapper liquidity terms (extracted-unverified): Rule 23c-3 periodic repurchase offer: up to five percent (5%) of outstanding shares, quarterly, at NAV (NYSE close on Repurchase Pricing Date).</w:t>
            </w:r>
          </w:p>
          <w:p>
            <w:r>
              <w:t>3.2 Repurchase mechanics (extracted-unverified): Current cycle (N-23C3A filed 2026-05-08): offer period 5/8/2026-5/29/2026; Repurchase Request Deadline 4:00 p.m. ET on 5/29/2026; Repurchase Pricing Date the SAME day, 5/29/2026 (NAV as of NYSE close); payment within seven (7) calendar days of the Pricing Date; reference NAV on 5/5/2026 was $10.39/share; offer size up to 5% of outstanding shares; no repurchase fee (cell 2.7).</w:t>
            </w:r>
          </w:p>
          <w:p>
            <w:r>
              <w:t>3.4 Portfolio liquidity profile (extracted-unverified): As of March 31, 2026 (N-CSR): fair value hierarchy table — Level 3 investments $27,306,832,701 of $39,962,131,663 total investments at fair value, plus $11,508,152,570 measured at NAV as practical expedient; Level 1 $547,782,011 (incl. Short-Term Investments $472,301,989); Level 2 $599,364,381.</w:t>
            </w:r>
          </w:p>
          <w:p>
            <w:r>
              <w:t>3.6 Fund leverage &amp; facilities (partial): Senior secured notes + revolving credit facility; $39.96B of holdings pledged as collateral at 3/31/2026 (vs $31.26B net assets -&gt; roughly $8-9B leverage implied).</w:t>
            </w:r>
          </w:p>
          <w:p>
            <w:r>
              <w:t>3.7 Plan participant liquidity demand (computed, this plan): Plan-side demand profile for this plan (Form 5500, plan year 2024-01-01 to 2024-12-31): 20,253 separated participants with balances = 58.2% of 34,826 accounts (the near-term liquidity tail), 14,729 active, 154 retirees in pay status, filed outflow proxy 6.5% of beginning net assets (Schedule H totals).</w:t>
            </w:r>
          </w:p>
          <w:p>
            <w:r>
              <w:t>3.8 Redemption stress test (computed, this plan): ILLUSTRATIVE redemption stress test for this plan: filed outflow proxy 6.5% of the position, slider assumption 13.7%, stressed demand 19.2% vs 20% annual wrapper capacity, within wrapper capacity (19.2% vs 20%) IF offers are not prorated. Source: this plan's liquidity match.</w:t>
            </w:r>
          </w:p>
          <w:p>
            <w:r>
              <w:t>3.9 Product-to-plan liquidity match (computed, this plan): Structural liquidity verdict PARTIAL (typed facts, plan-independent). Scenario verdict under this plan (ILLUSTRATIVE): CONDITIONAL. Source: this plan's liquidity match.</w:t>
            </w:r>
          </w:p>
          <w:p>
            <w:r>
              <w:t>Not applicable: 3.5 CIT only.</w:t>
            </w:r>
          </w:p>
        </w:tc>
      </w:tr>
      <w:tr>
        <w:tc>
          <w:tcPr>
            <w:tcW w:type="dxa" w:w="1728"/>
          </w:tcPr>
          <w:p>
            <w:r>
              <w:t>4. Valuation (j)</w:t>
            </w:r>
          </w:p>
        </w:tc>
        <w:tc>
          <w:tcPr>
            <w:tcW w:type="dxa" w:w="7632"/>
          </w:tcPr>
          <w:p>
            <w:r>
              <w:t>Typed facts: 4.5 Cohen &amp; Company, Ltd..</w:t>
            </w:r>
          </w:p>
          <w:p>
            <w:r>
              <w:t>4.1 Valuation policy &amp; NAV frequency (extracted-unverified): NAV frequency: daily — 'The Fund calculates its NAV as of the close of business on each Business Day and at such other times as the Board may determine' ('CALCULATION OF NET ASSET VALUE – GENERAL'); the Administrator calculates the NAV ('the Administrator calculates the Fund's NAV as of the close of business on each Business Day', SUSPENSION OF CALCULATION OF NET ASSET VALUE).</w:t>
            </w:r>
          </w:p>
          <w:p>
            <w:r>
              <w:t>4.2 Fair-value hierarchy (L1/2/3) (extracted-unverified): ASC 820 hierarchy at 3/31/2026 (Note 5), investments at fair value by asset type: Senior Secured Loans L1 $0 / L2 $565,960,752 / L3 $26,075,702,710 = $26,641,663,462; Private Investment Vehicles L3 $575,518,297 + NAV practical expedient $11,508,152,570 = $12,083,670,867; Subordinated Debt L2 $10,092,485 / L3 $390,297,048 = $400,389,533; Preferred Stocks L3 $147,365,279; Common Stocks L1 $75,480,022 / L3 $67,988,738 = $143,468,760; Collateralized Loan Obligations L2 $23,311,144 / L3 $48,618,348 = $71,929,492; Warrants L3 $1,342,281; Short-Term Investments L1 $472,301,989.</w:t>
            </w:r>
          </w:p>
          <w:p>
            <w:r>
              <w:t>4.3 Independent valuation agent (extracted-unverified): No third-party valuation firm is NAMED in any on-disk filing.</w:t>
            </w:r>
          </w:p>
          <w:p>
            <w:r>
              <w:t>4.4 Methodology by asset type (extracted-unverified): Level 3 valuation techniques and unobservable inputs at 3/31/2026 (Note 5 table; range then weighted average): SENIOR SECURED LOANS - $11,966,382,918 income approach, Discount Rate/Discount Margin 2.28%-26.46% (8.18%), with LTM Revenue $14M-$4,307M ($515M), Debt/EBITDA -10.7x-35.8x (5.5x), Interest Coverage -1.3x-22.9x (1.9x); $13,783,714,398 market approach, Recent Transaction Price $53.90-$101.00 ($99.26); $296,197,001 market approach EBITDA Multiple 4.3x-14.4x (9.8x) with Revenue Multiple 0.9x-1.5x; $29,403,238 Post Performance Multiple 0.5x-1.3x (0.8x).</w:t>
            </w:r>
          </w:p>
          <w:p>
            <w:r>
              <w:t>4.5 Auditor &amp; opinion (extracted-unverified): Cohen &amp; Company, Ltd., Cleveland, Ohio - independent registered public accounting firm (PCAOB-registered).</w:t>
            </w:r>
          </w:p>
          <w:p>
            <w:r>
              <w:t>4.6 NAV restatement history (extracted-unverified): None identified: searched 'restat', 'error correction', and 'reprocess' across ccl_ncsr.txt (N-CSR FY2026), ccl_486bpos.txt (486BPOS 2025-07-29), ccl_424b3.txt (424B3 2025-08-12), ccl_n23c3a_20260508.txt (N-23C3A 2026-05-08), and grepped all 12 raw HTML/XML filings on disk for this fund (including the seven other N-23C3A filings and NPORT-P); the only 'restat' hits are 'Amended and Restated' document titles — the Agreement and Declaration of Trust as amended and restated September 15, 2021 (in the N-CSR, 486BPOS, and 424B3) plus, in the 486BPOS Part C exhibit list, the Amended and Restated By-Laws, the Amended and Restated Administration, Fund Accounting and Recordkeeping Agreement, and the Amended and Restated Expense Limitation and Reimbursement Agreement.</w:t>
            </w:r>
          </w:p>
          <w:p>
            <w:r>
              <w:t>4.8 Smoothing diagnostics (partial): SMOOTHING FLAG (fund's own disclosure): annualized std dev 1.71% since inception vs 6.15% for the loan index - textbook appraisal-NAV smoothing signature.</w:t>
            </w:r>
          </w:p>
          <w:p>
            <w:r>
              <w:t>Not applicable: 4.7 no market price exists for a non-listed NAV-transaction wrapper; premium/discount undefined. 4.9 CIT only.</w:t>
            </w:r>
          </w:p>
        </w:tc>
      </w:tr>
      <w:tr>
        <w:tc>
          <w:tcPr>
            <w:tcW w:type="dxa" w:w="1728"/>
          </w:tcPr>
          <w:p>
            <w:r>
              <w:t>5. Performance Benchmarks (k)</w:t>
            </w:r>
          </w:p>
        </w:tc>
        <w:tc>
          <w:tcPr>
            <w:tcW w:type="dxa" w:w="7632"/>
          </w:tcPr>
          <w:p>
            <w:r>
              <w:t>Typed facts: 5.3 BKLN selected, 8/12.</w:t>
            </w:r>
          </w:p>
          <w:p>
            <w:r>
              <w:t>5.1 Self-declared benchmark (extracted-unverified): CORRECTED per crosscheck: the fund EXPRESSLY DECLARES NO designated performance benchmark.</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meaningful benchmark): window 2019-06-05 to 2026-07-17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interval fund (Rule 23c-3).</w:t>
            </w:r>
          </w:p>
          <w:p>
            <w:r>
              <w:t>6.1 Structure map (extracted-unverified): Legal form: Delaware statutory trust, registered closed-end management investment company operating as an interval fund; diversified; governed by Agreement and Declaration of Trust as most recently amended and restated September 15, 2021; elected RIC treatment.</w:t>
            </w:r>
          </w:p>
          <w:p>
            <w:r>
              <w:t>6.2 Strategy &amp; instrument complexity (extracted-unverified): Objectives: primary — consistent current income; secondary — capital preservation.</w:t>
            </w:r>
          </w:p>
          <w:p>
            <w:r>
              <w:t>6.3 Conflicts &amp; affiliated transactions (extracted-unverified): Conflicts: dedicated 'CONFLICTS OF INTEREST' section — Investment Manager and affiliates advise other vehicles with similar strategies that may compete for opportunities and may co-invest; shareholders deemed to acknowledge/waive certain conflict claims; valuation conflict disclosed ('participation of the investment professionals of the Investment Manager in the Fund's valuation process could result in a conflict of interest as the Investment Management Fee is based on the value of the Fund's assets').</w:t>
            </w:r>
          </w:p>
          <w:p>
            <w:r>
              <w:t>6.4 Tax reporting (1099 vs K-1) (partial): PARTIAL: tax form NOT explicitly named in on-disk filings - searched 486BPOS 2025-07-29, 424B3 2025-08-12 and N-CSR 2026-06-08 for '1099' / 'K-1' / 'Schedule K': zero hits.</w:t>
            </w:r>
          </w:p>
          <w:p>
            <w:r>
              <w:t>6.5 Service-provider web (extracted-unverified): As printed on the prospectus service-provider page (dated July 29, 2025): Investment Manager — Cliffwater LLC, 4640 Admiralty Way, 11th Floor, Marina del Rey, CA; Transfer Agent/Administrator — UMB Fund Services, Inc., 235 West Galena Street, Milwaukee, WI; Custodian Bank — State Street Bank and Trust Company, 1 Iron Street, Boston, MA; Distributor — Foreside Fund Services, LLC, Three Canal Plaza, Suite 100, Portland, ME (also named on cover as principal underwriter on a best-efforts basis); Independent Registered Public Accounting Firm — Cohen &amp; Company, Ltd., 1350 Euclid Avenue, Suite 800, Cleveland, OH; Fund Counsel — Faegre Drinker Biddle &amp; Reath LLP, One Logan Square, Suite 2000, Philadelphia, PA.</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Yahoo adjusted close, approximates NAV total return (CCLFX).</w:t>
      </w:r>
    </w:p>
    <w:p>
      <w:pPr>
        <w:pStyle w:val="Heading2"/>
      </w:pPr>
      <w:r>
        <w:t>Meaningful benchmark (paragraph (k)): Senior loan investable proxy (BKLN, for Morningstar LSTA class) (score 8/12)</w:t>
      </w:r>
    </w:p>
    <w:p>
      <w:r>
        <w:t>Window 2019-06-05 to 2026-07-17: fund 7.89%/yr (Yahoo adjusted close, approximates NAV total return) vs the benchmark 4.52%/yr, KS-PME 1.2532, Direct Alpha 3.22%/yr.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1.1224 (86 equal contributions at the window start and each month-end inside it, valued at the window end). The two-point figure is primary.</w:t>
      </w:r>
    </w:p>
    <w:p>
      <w:pPr>
        <w:pStyle w:val="ListBullet"/>
      </w:pPr>
      <w:r>
        <w:t>strategy_match 2/3: the public-market version of the asset class (syndicated loans for direct lending)</w:t>
      </w:r>
    </w:p>
    <w:p>
      <w:pPr>
        <w:pStyle w:val="ListBullet"/>
      </w:pPr>
      <w:r>
        <w:t>risk_liquidity_match 1/3: daily-liquid market series against a semi-liquid NAV fund (quarterly dealing at NAV under 5% cap per quarter): volatility and liquidity regimes differ, the PME construct exists for exactly this comparison</w:t>
      </w:r>
    </w:p>
    <w:p>
      <w:pPr>
        <w:pStyle w:val="ListBullet"/>
      </w:pPr>
      <w:r>
        <w:t>provider_independence 2/2: provider unaffiliated with the fund (Invesco / Morningstar LSTA class): the registry affiliation map ties it to none of the fund's advisers</w:t>
      </w:r>
    </w:p>
    <w:p>
      <w:pPr>
        <w:pStyle w:val="ListBullet"/>
      </w:pPr>
      <w:r>
        <w:t>data_held 2/2: daily public market series held (exchange-traded proxy, Yahoo adjusted close)</w:t>
      </w:r>
    </w:p>
    <w:p>
      <w:pPr>
        <w:pStyle w:val="ListBullet"/>
      </w:pPr>
      <w:r>
        <w:t>pricing_basis_match 1/2: a market-priced series standing in for an appraisal-based fund: comparable only through a PME, which is window-sensitive on appraisal-lagged NAVs</w:t>
      </w:r>
    </w:p>
    <w:p>
      <w:pPr>
        <w:pStyle w:val="Heading2"/>
      </w:pPr>
      <w:r>
        <w:t>Declared benchmark and SEC-required comparators (cell 5.1)</w:t>
      </w:r>
    </w:p>
    <w:p>
      <w:r>
        <w:t>SEC-required comparator: Morningstar LSTA US Leveraged Loan, cited, not held, scored 6/12, below the threshold. The declaration itself earns no points.</w:t>
      </w:r>
    </w:p>
    <w:p>
      <w:r>
        <w:t>No comparison: cited, series not in the record: no comparison computed.</w:t>
      </w:r>
    </w:p>
    <w:p>
      <w:r>
        <w:t>SEC-required comparator: Bloomberg US Aggregate, cited, not held, scored 6/12, below the threshold. The declaration itself earns no points.</w:t>
      </w:r>
    </w:p>
    <w:p>
      <w:r>
        <w:t>No comparison: cited, series not in the record: no comparison computed.</w:t>
      </w:r>
    </w:p>
    <w:p>
      <w:r>
        <w:t>Declared benchmark: none. cell 5.1: the fund expressly declares no designated performance benchmark.</w:t>
      </w:r>
    </w:p>
    <w:p>
      <w:pPr>
        <w:pStyle w:val="Heading2"/>
      </w:pPr>
      <w:r>
        <w:t>Peer comparison (paragraphs (g) and (h)): private credit cohort</w:t>
      </w:r>
    </w:p>
    <w:p>
      <w:r>
        <w:t>Peers: Blackstone Private Credit Fund, PIMCO Flexible Credit Income Fund, CION Ares Diversified Credit Fund, Blue Owl Credit Income Corp.. This is the history of similar investments, not the benchmark, and it is never a public market equivalent.</w:t>
      </w:r>
    </w:p>
    <w:p>
      <w:r>
        <w:t>Window 2021 to 2025 (5 calendar-year period(s), n=4 peers in every period): fund 9.25%/yr (Yahoo adjusted close, approximates NAV total return) vs the peer composite 7.96%/yr, relative wealth ratio 1.0613, annualized excess return 1.2%/yr.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Blackstone Private Credit Fund: filed calendar-year returns (December fiscal year); PIMCO Flexible Credit Income Fund: Yahoo adjusted close, approximates NAV total return; CION Ares Diversified Credit Fund: Yahoo adjusted close, approximates NAV total return; Blue Owl Credit Income Corp.: filed calendar-year returns (December fiscal year).</w:t>
      </w:r>
    </w:p>
    <w:p>
      <w:r>
        <w:t>Two-point comparison: one contribution at the window start and one valuation at the end, on identical period boundaries. The ratio is fund growth divided by the comparator's growth over the same periods.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Period</w:t>
            </w:r>
          </w:p>
        </w:tc>
        <w:tc>
          <w:tcPr>
            <w:tcW w:type="dxa" w:w="1337"/>
          </w:tcPr>
          <w:p>
            <w:r>
              <w:t>n</w:t>
            </w:r>
          </w:p>
        </w:tc>
        <w:tc>
          <w:tcPr>
            <w:tcW w:type="dxa" w:w="1337"/>
          </w:tcPr>
          <w:p>
            <w:r>
              <w:t>Cliffwater Corporate Lending Fund</w:t>
            </w:r>
          </w:p>
        </w:tc>
        <w:tc>
          <w:tcPr>
            <w:tcW w:type="dxa" w:w="1337"/>
          </w:tcPr>
          <w:p>
            <w:r>
              <w:t>Blackstone Private Credit Fund</w:t>
            </w:r>
          </w:p>
        </w:tc>
        <w:tc>
          <w:tcPr>
            <w:tcW w:type="dxa" w:w="1337"/>
          </w:tcPr>
          <w:p>
            <w:r>
              <w:t>PIMCO Flexible Credit Income Fund</w:t>
            </w:r>
          </w:p>
        </w:tc>
        <w:tc>
          <w:tcPr>
            <w:tcW w:type="dxa" w:w="1337"/>
          </w:tcPr>
          <w:p>
            <w:r>
              <w:t>CION Ares Diversified Credit Fund</w:t>
            </w:r>
          </w:p>
        </w:tc>
        <w:tc>
          <w:tcPr>
            <w:tcW w:type="dxa" w:w="1337"/>
          </w:tcPr>
          <w:p>
            <w:r>
              <w:t>Blue Owl Credit Income Corp.</w:t>
            </w:r>
          </w:p>
        </w:tc>
      </w:tr>
      <w:tr>
        <w:tc>
          <w:tcPr>
            <w:tcW w:type="dxa" w:w="1337"/>
          </w:tcPr>
          <w:p>
            <w:r>
              <w:t>2018</w:t>
            </w:r>
          </w:p>
        </w:tc>
        <w:tc>
          <w:tcPr>
            <w:tcW w:type="dxa" w:w="1337"/>
          </w:tcPr>
          <w:p>
            <w:r>
              <w:t>2</w:t>
            </w:r>
          </w:p>
        </w:tc>
        <w:tc>
          <w:tcPr>
            <w:tcW w:type="dxa" w:w="1337"/>
          </w:tcPr>
          <w:p>
            <w:r>
              <w:t>n/a</w:t>
            </w:r>
          </w:p>
        </w:tc>
        <w:tc>
          <w:tcPr>
            <w:tcW w:type="dxa" w:w="1337"/>
          </w:tcPr>
          <w:p>
            <w:r>
              <w:t>n/a</w:t>
            </w:r>
          </w:p>
        </w:tc>
        <w:tc>
          <w:tcPr>
            <w:tcW w:type="dxa" w:w="1337"/>
          </w:tcPr>
          <w:p>
            <w:r>
              <w:t>2.86%</w:t>
            </w:r>
          </w:p>
        </w:tc>
        <w:tc>
          <w:tcPr>
            <w:tcW w:type="dxa" w:w="1337"/>
          </w:tcPr>
          <w:p>
            <w:r>
              <w:t>4.45%</w:t>
            </w:r>
          </w:p>
        </w:tc>
        <w:tc>
          <w:tcPr>
            <w:tcW w:type="dxa" w:w="1337"/>
          </w:tcPr>
          <w:p>
            <w:r>
              <w:t>n/a</w:t>
            </w:r>
          </w:p>
        </w:tc>
      </w:tr>
      <w:tr>
        <w:tc>
          <w:tcPr>
            <w:tcW w:type="dxa" w:w="1337"/>
          </w:tcPr>
          <w:p>
            <w:r>
              <w:t>2019</w:t>
            </w:r>
          </w:p>
        </w:tc>
        <w:tc>
          <w:tcPr>
            <w:tcW w:type="dxa" w:w="1337"/>
          </w:tcPr>
          <w:p>
            <w:r>
              <w:t>2</w:t>
            </w:r>
          </w:p>
        </w:tc>
        <w:tc>
          <w:tcPr>
            <w:tcW w:type="dxa" w:w="1337"/>
          </w:tcPr>
          <w:p>
            <w:r>
              <w:t>n/a</w:t>
            </w:r>
          </w:p>
        </w:tc>
        <w:tc>
          <w:tcPr>
            <w:tcW w:type="dxa" w:w="1337"/>
          </w:tcPr>
          <w:p>
            <w:r>
              <w:t>n/a</w:t>
            </w:r>
          </w:p>
        </w:tc>
        <w:tc>
          <w:tcPr>
            <w:tcW w:type="dxa" w:w="1337"/>
          </w:tcPr>
          <w:p>
            <w:r>
              <w:t>10.63%</w:t>
            </w:r>
          </w:p>
        </w:tc>
        <w:tc>
          <w:tcPr>
            <w:tcW w:type="dxa" w:w="1337"/>
          </w:tcPr>
          <w:p>
            <w:r>
              <w:t>9.5%</w:t>
            </w:r>
          </w:p>
        </w:tc>
        <w:tc>
          <w:tcPr>
            <w:tcW w:type="dxa" w:w="1337"/>
          </w:tcPr>
          <w:p>
            <w:r>
              <w:t>n/a</w:t>
            </w:r>
          </w:p>
        </w:tc>
      </w:tr>
      <w:tr>
        <w:tc>
          <w:tcPr>
            <w:tcW w:type="dxa" w:w="1337"/>
          </w:tcPr>
          <w:p>
            <w:r>
              <w:t>2020</w:t>
            </w:r>
          </w:p>
        </w:tc>
        <w:tc>
          <w:tcPr>
            <w:tcW w:type="dxa" w:w="1337"/>
          </w:tcPr>
          <w:p>
            <w:r>
              <w:t>3</w:t>
            </w:r>
          </w:p>
        </w:tc>
        <w:tc>
          <w:tcPr>
            <w:tcW w:type="dxa" w:w="1337"/>
          </w:tcPr>
          <w:p>
            <w:r>
              <w:t>5.39%</w:t>
            </w:r>
          </w:p>
        </w:tc>
        <w:tc>
          <w:tcPr>
            <w:tcW w:type="dxa" w:w="1337"/>
          </w:tcPr>
          <w:p>
            <w:r>
              <w:t>n/a</w:t>
            </w:r>
          </w:p>
        </w:tc>
        <w:tc>
          <w:tcPr>
            <w:tcW w:type="dxa" w:w="1337"/>
          </w:tcPr>
          <w:p>
            <w:r>
              <w:t>4.29%</w:t>
            </w:r>
          </w:p>
        </w:tc>
        <w:tc>
          <w:tcPr>
            <w:tcW w:type="dxa" w:w="1337"/>
          </w:tcPr>
          <w:p>
            <w:r>
              <w:t>2.79%</w:t>
            </w:r>
          </w:p>
        </w:tc>
        <w:tc>
          <w:tcPr>
            <w:tcW w:type="dxa" w:w="1337"/>
          </w:tcPr>
          <w:p>
            <w:r>
              <w:t>n/a</w:t>
            </w:r>
          </w:p>
        </w:tc>
      </w:tr>
      <w:tr>
        <w:tc>
          <w:tcPr>
            <w:tcW w:type="dxa" w:w="1337"/>
          </w:tcPr>
          <w:p>
            <w:r>
              <w:t>2021</w:t>
            </w:r>
          </w:p>
        </w:tc>
        <w:tc>
          <w:tcPr>
            <w:tcW w:type="dxa" w:w="1337"/>
          </w:tcPr>
          <w:p>
            <w:r>
              <w:t>5</w:t>
            </w:r>
          </w:p>
        </w:tc>
        <w:tc>
          <w:tcPr>
            <w:tcW w:type="dxa" w:w="1337"/>
          </w:tcPr>
          <w:p>
            <w:r>
              <w:t>10.38%</w:t>
            </w:r>
          </w:p>
        </w:tc>
        <w:tc>
          <w:tcPr>
            <w:tcW w:type="dxa" w:w="1337"/>
          </w:tcPr>
          <w:p>
            <w:r>
              <w:t>12.6%</w:t>
            </w:r>
          </w:p>
        </w:tc>
        <w:tc>
          <w:tcPr>
            <w:tcW w:type="dxa" w:w="1337"/>
          </w:tcPr>
          <w:p>
            <w:r>
              <w:t>11.29%</w:t>
            </w:r>
          </w:p>
        </w:tc>
        <w:tc>
          <w:tcPr>
            <w:tcW w:type="dxa" w:w="1337"/>
          </w:tcPr>
          <w:p>
            <w:r>
              <w:t>9.21%</w:t>
            </w:r>
          </w:p>
        </w:tc>
        <w:tc>
          <w:tcPr>
            <w:tcW w:type="dxa" w:w="1337"/>
          </w:tcPr>
          <w:p>
            <w:r>
              <w:t>4.3%</w:t>
            </w:r>
          </w:p>
        </w:tc>
      </w:tr>
      <w:tr>
        <w:tc>
          <w:tcPr>
            <w:tcW w:type="dxa" w:w="1337"/>
          </w:tcPr>
          <w:p>
            <w:r>
              <w:t>2022</w:t>
            </w:r>
          </w:p>
        </w:tc>
        <w:tc>
          <w:tcPr>
            <w:tcW w:type="dxa" w:w="1337"/>
          </w:tcPr>
          <w:p>
            <w:r>
              <w:t>5</w:t>
            </w:r>
          </w:p>
        </w:tc>
        <w:tc>
          <w:tcPr>
            <w:tcW w:type="dxa" w:w="1337"/>
          </w:tcPr>
          <w:p>
            <w:r>
              <w:t>2.05%</w:t>
            </w:r>
          </w:p>
        </w:tc>
        <w:tc>
          <w:tcPr>
            <w:tcW w:type="dxa" w:w="1337"/>
          </w:tcPr>
          <w:p>
            <w:r>
              <w:t>3.6%</w:t>
            </w:r>
          </w:p>
        </w:tc>
        <w:tc>
          <w:tcPr>
            <w:tcW w:type="dxa" w:w="1337"/>
          </w:tcPr>
          <w:p>
            <w:r>
              <w:t>-15.36%</w:t>
            </w:r>
          </w:p>
        </w:tc>
        <w:tc>
          <w:tcPr>
            <w:tcW w:type="dxa" w:w="1337"/>
          </w:tcPr>
          <w:p>
            <w:r>
              <w:t>-2.85%</w:t>
            </w:r>
          </w:p>
        </w:tc>
        <w:tc>
          <w:tcPr>
            <w:tcW w:type="dxa" w:w="1337"/>
          </w:tcPr>
          <w:p>
            <w:r>
              <w:t>5.2%</w:t>
            </w:r>
          </w:p>
        </w:tc>
      </w:tr>
      <w:tr>
        <w:tc>
          <w:tcPr>
            <w:tcW w:type="dxa" w:w="1337"/>
          </w:tcPr>
          <w:p>
            <w:r>
              <w:t>2023</w:t>
            </w:r>
          </w:p>
        </w:tc>
        <w:tc>
          <w:tcPr>
            <w:tcW w:type="dxa" w:w="1337"/>
          </w:tcPr>
          <w:p>
            <w:r>
              <w:t>5</w:t>
            </w:r>
          </w:p>
        </w:tc>
        <w:tc>
          <w:tcPr>
            <w:tcW w:type="dxa" w:w="1337"/>
          </w:tcPr>
          <w:p>
            <w:r>
              <w:t>12.66%</w:t>
            </w:r>
          </w:p>
        </w:tc>
        <w:tc>
          <w:tcPr>
            <w:tcW w:type="dxa" w:w="1337"/>
          </w:tcPr>
          <w:p>
            <w:r>
              <w:t>14.4%</w:t>
            </w:r>
          </w:p>
        </w:tc>
        <w:tc>
          <w:tcPr>
            <w:tcW w:type="dxa" w:w="1337"/>
          </w:tcPr>
          <w:p>
            <w:r>
              <w:t>9.25%</w:t>
            </w:r>
          </w:p>
        </w:tc>
        <w:tc>
          <w:tcPr>
            <w:tcW w:type="dxa" w:w="1337"/>
          </w:tcPr>
          <w:p>
            <w:r>
              <w:t>12.99%</w:t>
            </w:r>
          </w:p>
        </w:tc>
        <w:tc>
          <w:tcPr>
            <w:tcW w:type="dxa" w:w="1337"/>
          </w:tcPr>
          <w:p>
            <w:r>
              <w:t>13.5%</w:t>
            </w:r>
          </w:p>
        </w:tc>
      </w:tr>
      <w:tr>
        <w:tc>
          <w:tcPr>
            <w:tcW w:type="dxa" w:w="1337"/>
          </w:tcPr>
          <w:p>
            <w:r>
              <w:t>2024</w:t>
            </w:r>
          </w:p>
        </w:tc>
        <w:tc>
          <w:tcPr>
            <w:tcW w:type="dxa" w:w="1337"/>
          </w:tcPr>
          <w:p>
            <w:r>
              <w:t>5</w:t>
            </w:r>
          </w:p>
        </w:tc>
        <w:tc>
          <w:tcPr>
            <w:tcW w:type="dxa" w:w="1337"/>
          </w:tcPr>
          <w:p>
            <w:r>
              <w:t>12.62%</w:t>
            </w:r>
          </w:p>
        </w:tc>
        <w:tc>
          <w:tcPr>
            <w:tcW w:type="dxa" w:w="1337"/>
          </w:tcPr>
          <w:p>
            <w:r>
              <w:t>11%</w:t>
            </w:r>
          </w:p>
        </w:tc>
        <w:tc>
          <w:tcPr>
            <w:tcW w:type="dxa" w:w="1337"/>
          </w:tcPr>
          <w:p>
            <w:r>
              <w:t>15.27%</w:t>
            </w:r>
          </w:p>
        </w:tc>
        <w:tc>
          <w:tcPr>
            <w:tcW w:type="dxa" w:w="1337"/>
          </w:tcPr>
          <w:p>
            <w:r>
              <w:t>10.39%</w:t>
            </w:r>
          </w:p>
        </w:tc>
        <w:tc>
          <w:tcPr>
            <w:tcW w:type="dxa" w:w="1337"/>
          </w:tcPr>
          <w:p>
            <w:r>
              <w:t>11.5%</w:t>
            </w:r>
          </w:p>
        </w:tc>
      </w:tr>
      <w:tr>
        <w:tc>
          <w:tcPr>
            <w:tcW w:type="dxa" w:w="1337"/>
          </w:tcPr>
          <w:p>
            <w:r>
              <w:t>2025</w:t>
            </w:r>
          </w:p>
        </w:tc>
        <w:tc>
          <w:tcPr>
            <w:tcW w:type="dxa" w:w="1337"/>
          </w:tcPr>
          <w:p>
            <w:r>
              <w:t>5</w:t>
            </w:r>
          </w:p>
        </w:tc>
        <w:tc>
          <w:tcPr>
            <w:tcW w:type="dxa" w:w="1337"/>
          </w:tcPr>
          <w:p>
            <w:r>
              <w:t>8.92%</w:t>
            </w:r>
          </w:p>
        </w:tc>
        <w:tc>
          <w:tcPr>
            <w:tcW w:type="dxa" w:w="1337"/>
          </w:tcPr>
          <w:p>
            <w:r>
              <w:t>8%</w:t>
            </w:r>
          </w:p>
        </w:tc>
        <w:tc>
          <w:tcPr>
            <w:tcW w:type="dxa" w:w="1337"/>
          </w:tcPr>
          <w:p>
            <w:r>
              <w:t>12.2%</w:t>
            </w:r>
          </w:p>
        </w:tc>
        <w:tc>
          <w:tcPr>
            <w:tcW w:type="dxa" w:w="1337"/>
          </w:tcPr>
          <w:p>
            <w:r>
              <w:t>7.69%</w:t>
            </w:r>
          </w:p>
        </w:tc>
        <w:tc>
          <w:tcPr>
            <w:tcW w:type="dxa" w:w="1337"/>
          </w:tcPr>
          <w:p>
            <w:r>
              <w:t>7.9%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Cliffwater Direct Lending Index (CDLI)</w:t>
            </w:r>
          </w:p>
        </w:tc>
        <w:tc>
          <w:tcPr>
            <w:tcW w:type="dxa" w:w="1008"/>
          </w:tcPr>
          <w:p>
            <w:r>
              <w:t>7/12</w:t>
            </w:r>
          </w:p>
        </w:tc>
        <w:tc>
          <w:tcPr>
            <w:tcW w:type="dxa" w:w="5472"/>
          </w:tcPr>
          <w:p>
            <w:r>
              <w:t>rejected: affiliated provider (score 7/12), an index published by the fund's own adviser is ineligible for the meaningful-benchmark slot Criteria: strategy_match 3/3: same asset class and sub-strategy (private credit / direct lending), risk_liquidity_match 2/3: appraisal-based index without a dealing mechanism of its own against a NAV fund (quarterly dealing at NAV under 5% cap per quarter): the pricing process matches, the liquidity terms cannot, provider_independence 0/2: index published by the fund's own adviser (Cliffwater) per the registry affiliation map. A manufacturer-owned yardstick is not an independent comparator and is ineligible for the meaningful-benchmark slot, data_held 0/2: cited, series not in the record: no comparison can be computed yet, pricing_basis_match 2/2: both appraisal-based NAV series.</w:t>
            </w:r>
          </w:p>
        </w:tc>
      </w:tr>
      <w:tr>
        <w:tc>
          <w:tcPr>
            <w:tcW w:type="dxa" w:w="2880"/>
          </w:tcPr>
          <w:p>
            <w:r>
              <w:t>Bloomberg US Aggregate Bond Index</w:t>
            </w:r>
          </w:p>
        </w:tc>
        <w:tc>
          <w:tcPr>
            <w:tcW w:type="dxa" w:w="1008"/>
          </w:tcPr>
          <w:p>
            <w:r>
              <w:t>6/12</w:t>
            </w:r>
          </w:p>
        </w:tc>
        <w:tc>
          <w:tcPr>
            <w:tcW w:type="dxa" w:w="5472"/>
          </w:tcPr>
          <w:p>
            <w:r>
              <w:t>score 6/12 below the threshold 7/12 Criteria: strategy_match 2/3: the public-market version of the asset class (core bonds for direct lending),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(Bloomberg):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r>
        <w:tc>
          <w:tcPr>
            <w:tcW w:type="dxa" w:w="2880"/>
          </w:tcPr>
          <w:p>
            <w:r>
              <w:t>Credit Suisse Leveraged Loan Index (CSLLI)</w:t>
            </w:r>
          </w:p>
        </w:tc>
        <w:tc>
          <w:tcPr>
            <w:tcW w:type="dxa" w:w="1008"/>
          </w:tcPr>
          <w:p>
            <w:r>
              <w:t>6/12</w:t>
            </w:r>
          </w:p>
        </w:tc>
        <w:tc>
          <w:tcPr>
            <w:tcW w:type="dxa" w:w="5472"/>
          </w:tcPr>
          <w:p>
            <w:r>
              <w:t>score 6/12 below the threshold 7/12 Criteria: strategy_match 2/3: the public-market version of the asset class (leveraged loans for direct lending),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(Credit Suisse (UBS)):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r>
        <w:tc>
          <w:tcPr>
            <w:tcW w:type="dxa" w:w="2880"/>
          </w:tcPr>
          <w:p>
            <w:r>
              <w:t>Morningstar LSTA US Leveraged Loan Index</w:t>
            </w:r>
          </w:p>
        </w:tc>
        <w:tc>
          <w:tcPr>
            <w:tcW w:type="dxa" w:w="1008"/>
          </w:tcPr>
          <w:p>
            <w:r>
              <w:t>6/12</w:t>
            </w:r>
          </w:p>
        </w:tc>
        <w:tc>
          <w:tcPr>
            <w:tcW w:type="dxa" w:w="5472"/>
          </w:tcPr>
          <w:p>
            <w:r>
              <w:t>score 6/12 below the threshold 7/12 Criteria: strategy_match 2/3: the public-market version of the asset class (syndicated loans for direct lending),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(Morningstar / LSTA):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bl>
    <w:p>
      <w:pPr>
        <w:pStyle w:val="Heading1"/>
      </w:pPr>
      <w:r>
        <w:t>Product-to-plan liquidity match</w:t>
      </w:r>
    </w:p>
    <w:p>
      <w:r>
        <w:t>Plan: Global management-consulting firm profit-sharing/401(k) plan (~$9.8B, NY).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outstanding shares.</w:t>
      </w:r>
    </w:p>
    <w:p>
      <w:pPr>
        <w:pStyle w:val="ListBullet"/>
      </w:pPr>
      <w:r>
        <w:t>Facts missing for a structural verdict: gate_history (N-23C3A filings are offer NOTIFICATIONS, not results. Per-offer proration outcomes not yet evidenced).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 fund (Rule 23c-3)</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N-23C3A filings are offer NOTIFICATIONS, not results. Per-offer proration outcomes not yet evidenced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not typed: net assets ~$31.26B printed, but the carrying cells (1.1/3.6) are partial - verification unlocks this fact</w:t>
            </w:r>
          </w:p>
        </w:tc>
        <w:tc>
          <w:tcPr>
            <w:tcW w:type="dxa" w:w="1152"/>
          </w:tcPr>
          <w:p>
            <w:r>
              <w:t>3.4</w:t>
            </w:r>
          </w:p>
        </w:tc>
      </w:tr>
    </w:tbl>
    <w:p>
      <w:pPr>
        <w:pStyle w:val="Heading2"/>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site, not a fact): tail turnover 20%/yr, active turnover 5%/yr, 13.7% of the position per year = $67.3M/yr, shown beside the filed rate, not blended with it.</w:t>
      </w:r>
    </w:p>
    <w:p>
      <w:r>
        <w:t>Stressed (the filed outflow proxy plus the increment the sliders add under stress (tail turnover x2, active turnover x1.5 over the slider assumption)): demand $94.1M/yr = 19.2% of the position. within wrapper capacity (19.2% vs 20%) IF offers are not prorated.</w:t>
      </w:r>
    </w:p>
    <w:p>
      <w:r>
        <w:t>Fund capacity in dollars: not computable, the fund's net assets are not typed in the record (net assets ~$31.26B printed, but the carrying cells (1.1/3.6) are partial - verification unlocks this fact), so the plan's dollar demand cannot be set against the fund's dollar capacity and the allocation slider is not shown.</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plan_consulting_alumni.json (Form 5500, plan year 2024-01-01 to 2024-12-31).</w:t>
      </w:r>
    </w:p>
    <w:p>
      <w:pPr>
        <w:pStyle w:val="Heading1"/>
      </w:pPr>
      <w:r>
        <w:t>Peer cohort placement</w:t>
      </w:r>
    </w:p>
    <w:p>
      <w:r>
        <w:t>Evidence depth tier: FULL. Cohort: Private credit (interval fund + non-traded BDC) (n=5). Membership rationale: Direct corporate lending in a Rule 23c-3 interval wrapper, the cohort's reference member. Daily NAV, quarterly obligated liquidity.</w:t>
      </w:r>
    </w:p>
    <w:p>
      <w:r>
        <w:t>Cohort placement (private credit cohort): mgmt fee: 10th percentile of cohort (n=5), below the median of 1.25 | expense ratio (bases differ, see notes): 10th percentile of cohort (n=5), below the median of 3.76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Global management-consulting firm profit-sharing/401(k) plan (~$9.8B, NY) (ILLUSTRATIVE): CONDITIONAL.</w:t>
      </w:r>
    </w:p>
    <w:p>
      <w:r>
        <w:t>Meaningful benchmark (paragraph (k)): Senior loan investable proxy (BKLN, for Morningstar LSTA class) at 8/12. Peer comparison (paragraphs (g) and (h)): relative wealth ratio 1.0613 vs the equal-weight peer composite over 2021 to 2025 (n=4), not a benchmark and not a PME.</w:t>
      </w:r>
    </w:p>
    <w:p>
      <w:r>
        <w:t>Flags raised by the record (each restates a typed value or verdict already in the artifacts, with its source):</w:t>
      </w:r>
    </w:p>
    <w:p>
      <w:pPr>
        <w:pStyle w:val="ListBullet"/>
      </w:pPr>
      <w:r>
        <w:t>Liquidity: structural verdict partial, facts missing: gate_history (cells 3.1,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23, verified 0, computed 13, partial 7, fetched 2, n/a 10, pending 0. 45 of 45 resolvable, 0 verified, 10 n/a by wrapper.</w:t>
      </w:r>
    </w:p>
    <w:p>
      <w:r>
        <w:t>Of the 43 evidenced cells, 43 carry a source document, 42 a section, 28 a verbatim quote (computed cells carry their computation and inputs instead of a quote) and 43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1.2</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1.3</w:t>
            </w:r>
          </w:p>
        </w:tc>
        <w:tc>
          <w:tcPr>
            <w:tcW w:type="dxa" w:w="3456"/>
          </w:tcPr>
          <w:p>
            <w:r>
              <w:t>N-CSR (annual report, fiscal year ended March 31, 2026), filed 2026-06-08; after-waiver including-interest rows and waiver-termination context from 486BPOS prospectus/SAI dated July 29, 2025, filed 2025-07-29</w:t>
            </w:r>
          </w:p>
        </w:tc>
        <w:tc>
          <w:tcPr>
            <w:tcW w:type="dxa" w:w="5184"/>
          </w:tcPr>
          <w:p>
            <w:r>
              <w:t>N-CSR 2026-06-08 accession 0001213900-26-066324 https://www.sec.gov/Archives/edgar/data/1735964/000121390026066324/ea0291746-01_ncsr.htm</w:t>
            </w:r>
          </w:p>
          <w:p>
            <w:r>
              <w:t>486BPOS 2025-07-29 accession 0001213900-25-068706 https://www.sec.gov/Archives/edgar/data/1735964/000121390025068706/ea0248544-01_486bpos.htm</w:t>
            </w:r>
          </w:p>
        </w:tc>
      </w:tr>
      <w:tr>
        <w:tc>
          <w:tcPr>
            <w:tcW w:type="dxa" w:w="720"/>
          </w:tcPr>
          <w:p>
            <w:r>
              <w:t>1.4</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1.6</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1.7</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1.8</w:t>
            </w:r>
          </w:p>
        </w:tc>
        <w:tc>
          <w:tcPr>
            <w:tcW w:type="dxa" w:w="3456"/>
          </w:tcPr>
          <w:p>
            <w:r>
              <w:t>benchmark selection artifact (Cliffwater Corporate Lending Fund)</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486BPOS prospectus/SAI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1.12</w:t>
            </w:r>
          </w:p>
        </w:tc>
        <w:tc>
          <w:tcPr>
            <w:tcW w:type="dxa" w:w="3456"/>
          </w:tcPr>
          <w:p>
            <w:r>
              <w:t>benchmark selection artifact (Cliffwater Corporate Lending Fund)</w:t>
            </w:r>
          </w:p>
        </w:tc>
        <w:tc>
          <w:tcPr>
            <w:tcW w:type="dxa" w:w="5184"/>
          </w:tcPr>
          <w:p>
            <w:r>
              <w:t>accession not on record: no filing reference in the source field</w:t>
            </w:r>
          </w:p>
        </w:tc>
      </w:tr>
      <w:tr>
        <w:tc>
          <w:tcPr>
            <w:tcW w:type="dxa" w:w="720"/>
          </w:tcPr>
          <w:p>
            <w:r>
              <w:t>2.1</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2.2</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2.3</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2.4</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2.5</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2.6</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2.7</w:t>
            </w:r>
          </w:p>
        </w:tc>
        <w:tc>
          <w:tcPr>
            <w:tcW w:type="dxa" w:w="3456"/>
          </w:tcPr>
          <w:p>
            <w:r>
              <w:t>N-23C3A filed 2026-05-08 (and the 7 earlier N-23C3A filings in the fund's raw filings on disk); 486BPOS 2025-07-29 fundamental policies</w:t>
            </w:r>
          </w:p>
        </w:tc>
        <w:tc>
          <w:tcPr>
            <w:tcW w:type="dxa" w:w="5184"/>
          </w:tcPr>
          <w:p>
            <w:r>
              <w:t>N-23C3A 2026-05-08 accession 0001213900-26-053701 https://www.sec.gov/Archives/edgar/data/1735964/000121390026053701/ea0289460-01_n23c3a.htm</w:t>
            </w:r>
          </w:p>
          <w:p>
            <w:r>
              <w:t>N-23C3A, cited as the set of N-23C3A filings, 8 held:</w:t>
            </w:r>
          </w:p>
          <w:p>
            <w:r>
              <w:t>2024-07-15 accession 0001213900-24-061279 https://www.sec.gov/Archives/edgar/data/1735964/000121390024061279/ea0209299-01_n23c3a.htm</w:t>
            </w:r>
          </w:p>
          <w:p>
            <w:r>
              <w:t>2024-10-15 accession 0001213900-24-087625 https://www.sec.gov/Archives/edgar/data/1735964/000121390024087625/ea0217326-01_n23c3a.htm</w:t>
            </w:r>
          </w:p>
          <w:p>
            <w:r>
              <w:t>2025-01-17 accession 0001213900-25-004435 https://www.sec.gov/Archives/edgar/data/1735964/000121390025004435/ea0227783-01_n23c3a.htm</w:t>
            </w:r>
          </w:p>
          <w:p>
            <w:r>
              <w:t>2025-05-08 accession 0001213900-25-040865 https://www.sec.gov/Archives/edgar/data/1735964/000121390025040865/ea0241107-01_n23c3a.htm</w:t>
            </w:r>
          </w:p>
          <w:p>
            <w:r>
              <w:t>2025-08-07 accession 0001213900-25-072928 https://www.sec.gov/Archives/edgar/data/1735964/000121390025072928/ea0251882-01_n23c3a.htm</w:t>
            </w:r>
          </w:p>
          <w:p>
            <w:r>
              <w:t>2025-11-06 accession 0001213900-25-107013 https://www.sec.gov/Archives/edgar/data/1735964/000121390025107013/ea0263913-01_n23c3a.htm</w:t>
            </w:r>
          </w:p>
          <w:p>
            <w:r>
              <w:t>2026-02-05 accession 0001213900-26-012614 https://www.sec.gov/Archives/edgar/data/1735964/000121390026012614/ea0275339-01_n23c3a.htm</w:t>
            </w:r>
          </w:p>
          <w:p>
            <w:r>
              <w:t>2026-05-08 accession 0001213900-26-053701 https://www.sec.gov/Archives/edgar/data/1735964/000121390026053701/ea0289460-01_n23c3a.htm</w:t>
            </w:r>
          </w:p>
          <w:p>
            <w:r>
              <w:t>486BPOS 2025-07-29 accession 0001213900-25-068706 https://www.sec.gov/Archives/edgar/data/1735964/000121390025068706/ea0248544-01_486bpos.htm</w:t>
            </w:r>
          </w:p>
        </w:tc>
      </w:tr>
      <w:tr>
        <w:tc>
          <w:tcPr>
            <w:tcW w:type="dxa" w:w="720"/>
          </w:tcPr>
          <w:p>
            <w:r>
              <w:t>2.9</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3.1</w:t>
            </w:r>
          </w:p>
        </w:tc>
        <w:tc>
          <w:tcPr>
            <w:tcW w:type="dxa" w:w="3456"/>
          </w:tcPr>
          <w:p>
            <w:r>
              <w:t>N-23C3A 2026-05-08</w:t>
            </w:r>
          </w:p>
        </w:tc>
        <w:tc>
          <w:tcPr>
            <w:tcW w:type="dxa" w:w="5184"/>
          </w:tcPr>
          <w:p>
            <w:r>
              <w:t>N-23C3A 2026-05-08 accession 0001213900-26-053701 https://www.sec.gov/Archives/edgar/data/1735964/000121390026053701/ea0289460-01_n23c3a.htm</w:t>
            </w:r>
          </w:p>
        </w:tc>
      </w:tr>
      <w:tr>
        <w:tc>
          <w:tcPr>
            <w:tcW w:type="dxa" w:w="720"/>
          </w:tcPr>
          <w:p>
            <w:r>
              <w:t>3.2</w:t>
            </w:r>
          </w:p>
        </w:tc>
        <w:tc>
          <w:tcPr>
            <w:tcW w:type="dxa" w:w="3456"/>
          </w:tcPr>
          <w:p>
            <w:r>
              <w:t>N-23C3A filed 2026-05-08; 486BPOS prospectus/SAI dated July 29, 2025, filed 2025-07-29</w:t>
            </w:r>
          </w:p>
        </w:tc>
        <w:tc>
          <w:tcPr>
            <w:tcW w:type="dxa" w:w="5184"/>
          </w:tcPr>
          <w:p>
            <w:r>
              <w:t>N-23C3A 2026-05-08 accession 0001213900-26-053701 https://www.sec.gov/Archives/edgar/data/1735964/000121390026053701/ea0289460-01_n23c3a.htm</w:t>
            </w:r>
          </w:p>
          <w:p>
            <w:r>
              <w:t>486BPOS 2025-07-29 accession 0001213900-25-068706 https://www.sec.gov/Archives/edgar/data/1735964/000121390025068706/ea0248544-01_486bpos.htm</w:t>
            </w:r>
          </w:p>
        </w:tc>
      </w:tr>
      <w:tr>
        <w:tc>
          <w:tcPr>
            <w:tcW w:type="dxa" w:w="720"/>
          </w:tcPr>
          <w:p>
            <w:r>
              <w:t>3.4</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3.6</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(Cliffwater Corporate Lending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(Cliffwater Corporate Lending Fund, four reference plans)</w:t>
            </w:r>
          </w:p>
        </w:tc>
        <w:tc>
          <w:tcPr>
            <w:tcW w:type="dxa" w:w="5184"/>
          </w:tcPr>
          <w:p>
            <w:r>
              <w:t>accession not on record: no filing reference in the source field</w:t>
            </w:r>
          </w:p>
        </w:tc>
      </w:tr>
      <w:tr>
        <w:tc>
          <w:tcPr>
            <w:tcW w:type="dxa" w:w="720"/>
          </w:tcPr>
          <w:p>
            <w:r>
              <w:t>4.1</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4.2</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4.3</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4.4</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4.5</w:t>
            </w:r>
          </w:p>
        </w:tc>
        <w:tc>
          <w:tcPr>
            <w:tcW w:type="dxa" w:w="3456"/>
          </w:tcPr>
          <w:p>
            <w:r>
              <w:t>N-CSR 2026-06-08 (FY2026 annual report)</w:t>
            </w:r>
          </w:p>
        </w:tc>
        <w:tc>
          <w:tcPr>
            <w:tcW w:type="dxa" w:w="5184"/>
          </w:tcPr>
          <w:p>
            <w:r>
              <w:t>N-CSR 2026-06-08 accession 0001213900-26-066324 https://www.sec.gov/Archives/edgar/data/1735964/000121390026066324/ea0291746-01_ncsr.htm</w:t>
            </w:r>
          </w:p>
        </w:tc>
      </w:tr>
      <w:tr>
        <w:tc>
          <w:tcPr>
            <w:tcW w:type="dxa" w:w="720"/>
          </w:tcPr>
          <w:p>
            <w:r>
              <w:t>4.6</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4.8</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5.1</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5.3</w:t>
            </w:r>
          </w:p>
        </w:tc>
        <w:tc>
          <w:tcPr>
            <w:tcW w:type="dxa" w:w="3456"/>
          </w:tcPr>
          <w:p>
            <w:r>
              <w:t>benchmark selection artifact (Cliffwater Corporate Lending Fund)</w:t>
            </w:r>
          </w:p>
        </w:tc>
        <w:tc>
          <w:tcPr>
            <w:tcW w:type="dxa" w:w="5184"/>
          </w:tcPr>
          <w:p>
            <w:r>
              <w:t>accession not on record: no filing reference in the source field</w:t>
            </w:r>
          </w:p>
        </w:tc>
      </w:tr>
      <w:tr>
        <w:tc>
          <w:tcPr>
            <w:tcW w:type="dxa" w:w="720"/>
          </w:tcPr>
          <w:p>
            <w:r>
              <w:t>5.4</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(Cliffwater Corporate Lending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(Cliffwater Corporate Lending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6.2</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6.3</w:t>
            </w:r>
          </w:p>
        </w:tc>
        <w:tc>
          <w:tcPr>
            <w:tcW w:type="dxa" w:w="3456"/>
          </w:tcPr>
          <w:p>
            <w:r>
              <w:t>486BPOS prospectus/SAI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6.4</w:t>
            </w:r>
          </w:p>
        </w:tc>
        <w:tc>
          <w:tcPr>
            <w:tcW w:type="dxa" w:w="3456"/>
          </w:tcPr>
          <w:p>
            <w:r>
              <w:t>486BPOS 2025-07-29 + N-CSR 2026-06-08 (form not named in either)</w:t>
            </w:r>
          </w:p>
        </w:tc>
        <w:tc>
          <w:tcPr>
            <w:tcW w:type="dxa" w:w="5184"/>
          </w:tcPr>
          <w:p>
            <w:r>
              <w:t>486BPOS 2025-07-29 accession 0001213900-25-068706 https://www.sec.gov/Archives/edgar/data/1735964/000121390025068706/ea0248544-01_486bpos.htm</w:t>
            </w:r>
          </w:p>
          <w:p>
            <w:r>
              <w:t>N-CSR 2026-06-08 accession 0001213900-26-066324 https://www.sec.gov/Archives/edgar/data/1735964/000121390026066324/ea0291746-01_ncsr.htm</w:t>
            </w:r>
          </w:p>
        </w:tc>
      </w:tr>
      <w:tr>
        <w:tc>
          <w:tcPr>
            <w:tcW w:type="dxa" w:w="720"/>
          </w:tcPr>
          <w:p>
            <w:r>
              <w:t>6.5</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bl>
    <w:p>
      <w:r>
        <w:t>Data sources: SEC EDGAR filings (12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