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Hamilton Lane Private Assets Fund (tender-offer fund ('40 Act); NOT an interval fund, CIK 1803491)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1.9565, Direct Alpha 14.37%/yr over 2021-03-31 to 2026-03-31.</w:t>
      </w:r>
    </w:p>
    <w:p>
      <w:r>
        <w:t>Peer comparison (paragraphs (g) and (h)):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1.9565, Direct Alpha 14.37%/yr, 2021-03-31 to 2026-03-31</w:t>
            </w:r>
          </w:p>
        </w:tc>
      </w:tr>
      <w:tr>
        <w:tc>
          <w:tcPr>
            <w:tcW w:type="dxa" w:w="1152"/>
          </w:tcPr>
          <w:p>
            <w:r>
              <w:t>SEC-required comparator</w:t>
            </w:r>
          </w:p>
        </w:tc>
        <w:tc>
          <w:tcPr>
            <w:tcW w:type="dxa" w:w="3456"/>
          </w:tcPr>
          <w:p>
            <w:r>
              <w:t>S&amp;P 500 Index</w:t>
            </w:r>
          </w:p>
        </w:tc>
        <w:tc>
          <w:tcPr>
            <w:tcW w:type="dxa" w:w="864"/>
          </w:tcPr>
          <w:p>
            <w:r/>
          </w:p>
        </w:tc>
        <w:tc>
          <w:tcPr>
            <w:tcW w:type="dxa" w:w="3888"/>
          </w:tcPr>
          <w:p>
            <w:r>
              <w:t>held, scored 7/12, fails the strategy gate (strategy_match 1/3). KS-PME 1.1603, Direct Alpha 3.02%/yr, 2021-03-31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1.2386, Direct Alpha 4.37%/yr, 2021-03-31 to 2026-03-31</w:t>
            </w:r>
          </w:p>
        </w:tc>
      </w:tr>
      <w:tr>
        <w:tc>
          <w:tcPr>
            <w:tcW w:type="dxa" w:w="1152"/>
          </w:tcPr>
          <w:p>
            <w:r>
              <w:t>Peer comparison (paragraphs (g) and (h))</w:t>
            </w:r>
          </w:p>
        </w:tc>
        <w:tc>
          <w:tcPr>
            <w:tcW w:type="dxa" w:w="3456"/>
          </w:tcPr>
          <w:p>
            <w:r>
              <w:t>Peer composite, evergreen private equity cohort without Hamilton Lane Private Assets Fund</w:t>
            </w:r>
          </w:p>
        </w:tc>
        <w:tc>
          <w:tcPr>
            <w:tcW w:type="dxa" w:w="864"/>
          </w:tcPr>
          <w:p>
            <w:r>
              <w:t>not scored</w:t>
            </w:r>
          </w:p>
        </w:tc>
        <w:tc>
          <w:tcPr>
            <w:tcW w:type="dxa" w:w="3888"/>
          </w:tcPr>
          <w:p>
            <w:r>
              <w:t>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net assets.</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$5.8B</w:t>
            </w:r>
          </w:p>
        </w:tc>
        <w:tc>
          <w:tcPr>
            <w:tcW w:type="dxa" w:w="1152"/>
          </w:tcPr>
          <w:p>
            <w:r>
              <w:t>3.4</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$1.2B per year (20% of $5.8B net assets, cell 3.4). The plan's demand at the filed rate is $31.9M per year, 2.76%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$5.8B net assets (cell 3.4) is $1.2B per year. At a 5% allocation ($490.5M) the plan's demand at the filed rate is $31.9M per year, 2.76%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3.4,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10%</w:t>
            </w:r>
          </w:p>
        </w:tc>
        <w:tc>
          <w:tcPr>
            <w:tcW w:type="dxa" w:w="2880"/>
          </w:tcPr>
          <w:p>
            <w:r>
              <w:t>extracted-unverified</w:t>
            </w:r>
          </w:p>
        </w:tc>
      </w:tr>
      <w:t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c>
          <w:tcPr>
            <w:tcW w:type="dxa" w:w="2880"/>
          </w:tcPr>
          <w:p>
            <w:r>
              <w:t>2.4 AFFE</w:t>
            </w:r>
          </w:p>
        </w:tc>
        <w:tc>
          <w:tcPr>
            <w:tcW w:type="dxa" w:w="3600"/>
          </w:tcPr>
          <w:p>
            <w:r>
              <w:t>AFFE 0.49%</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28, verified 0, computed 11,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