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1.15 vs BKLN (reference, not the benchmark). 1.11 inception 2020-11-10, 5.1 years. 1.12 peer relative wealth ratio 1.01, not a benchmark.</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9/12: no comparison computed (cited, series not in the record: no comparison computed).</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c>
          <w:tcPr>
            <w:tcW w:type="dxa" w:w="1728"/>
          </w:tcPr>
          <w:p>
            <w:r>
              <w:t>2. Fees (h)</w:t>
            </w:r>
          </w:p>
        </w:tc>
        <w:tc>
          <w:tcPr>
            <w:tcW w:type="dxa" w:w="7632"/>
          </w:tcPr>
          <w:p>
            <w:r>
              <w:t>Typed facts: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documented-unavailable.</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CDLI selected, 9/12.</w:t>
            </w:r>
          </w:p>
          <w:p>
            <w:r>
              <w:t>5.1 Self-declared benchmark (partial): No self-declared performance benchmark index appears in the FY2025 10-K or the 2025 N-2.</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Cliffwater Direct Lending Index (CDLI) (score 9/12)</w:t>
      </w:r>
    </w:p>
    <w:p>
      <w:r>
        <w:t>Comparison not computed: cited, series not in the record: no comparison computed. The candidate is selected on its own descriptors. No number is substituted.</w:t>
      </w:r>
    </w:p>
    <w:p>
      <w:pPr>
        <w:pStyle w:val="ListBullet"/>
      </w:pPr>
      <w:r>
        <w:t>strategy_match 3/3: same asset class and sub-strategy (private credit / direct lending)</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(partial): no self-declared benchmark index appears in the 10-K or the N-2.</w:t>
      </w:r>
    </w:p>
    <w:p>
      <w:pPr>
        <w:pStyle w:val="Heading2"/>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Blue Owl Credit Income Corp.</w:t>
            </w:r>
          </w:p>
        </w:tc>
        <w:tc>
          <w:tcPr>
            <w:tcW w:type="dxa" w:w="1337"/>
          </w:tcPr>
          <w:p>
            <w:r>
              <w:t>Cliffwater Corporate Lending Fund</w:t>
            </w:r>
          </w:p>
        </w:tc>
        <w:tc>
          <w:tcPr>
            <w:tcW w:type="dxa" w:w="1337"/>
          </w:tcPr>
          <w:p>
            <w:r>
              <w:t>Blackstone Private Credit Fund</w:t>
            </w:r>
          </w:p>
        </w:tc>
        <w:tc>
          <w:tcPr>
            <w:tcW w:type="dxa" w:w="1337"/>
          </w:tcPr>
          <w:p>
            <w:r>
              <w:t>PIMCO Flexible Credit Income Fund</w:t>
            </w:r>
          </w:p>
        </w:tc>
        <w:tc>
          <w:tcPr>
            <w:tcW w:type="dxa" w:w="1337"/>
          </w:tcPr>
          <w:p>
            <w:r>
              <w:t>CION Ares Diversified Credit Fund</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2.86%</w:t>
            </w:r>
          </w:p>
        </w:tc>
        <w:tc>
          <w:tcPr>
            <w:tcW w:type="dxa" w:w="1337"/>
          </w:tcPr>
          <w:p>
            <w:r>
              <w:t>4.45%</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10.63%</w:t>
            </w:r>
          </w:p>
        </w:tc>
        <w:tc>
          <w:tcPr>
            <w:tcW w:type="dxa" w:w="1337"/>
          </w:tcPr>
          <w:p>
            <w:r>
              <w:t>9.5%</w:t>
            </w:r>
          </w:p>
        </w:tc>
      </w:tr>
      <w:tr>
        <w:tc>
          <w:tcPr>
            <w:tcW w:type="dxa" w:w="1337"/>
          </w:tcPr>
          <w:p>
            <w:r>
              <w:t>2020</w:t>
            </w:r>
          </w:p>
        </w:tc>
        <w:tc>
          <w:tcPr>
            <w:tcW w:type="dxa" w:w="1337"/>
          </w:tcPr>
          <w:p>
            <w:r>
              <w:t>3</w:t>
            </w:r>
          </w:p>
        </w:tc>
        <w:tc>
          <w:tcPr>
            <w:tcW w:type="dxa" w:w="1337"/>
          </w:tcPr>
          <w:p>
            <w:r>
              <w:t>n/a</w:t>
            </w:r>
          </w:p>
        </w:tc>
        <w:tc>
          <w:tcPr>
            <w:tcW w:type="dxa" w:w="1337"/>
          </w:tcPr>
          <w:p>
            <w:r>
              <w:t>5.39%</w:t>
            </w:r>
          </w:p>
        </w:tc>
        <w:tc>
          <w:tcPr>
            <w:tcW w:type="dxa" w:w="1337"/>
          </w:tcPr>
          <w:p>
            <w:r>
              <w:t>n/a</w:t>
            </w:r>
          </w:p>
        </w:tc>
        <w:tc>
          <w:tcPr>
            <w:tcW w:type="dxa" w:w="1337"/>
          </w:tcPr>
          <w:p>
            <w:r>
              <w:t>4.29%</w:t>
            </w:r>
          </w:p>
        </w:tc>
        <w:tc>
          <w:tcPr>
            <w:tcW w:type="dxa" w:w="1337"/>
          </w:tcPr>
          <w:p>
            <w:r>
              <w:t>2.79%</w:t>
            </w:r>
          </w:p>
        </w:tc>
      </w:tr>
      <w:tr>
        <w:tc>
          <w:tcPr>
            <w:tcW w:type="dxa" w:w="1337"/>
          </w:tcPr>
          <w:p>
            <w:r>
              <w:t>2021</w:t>
            </w:r>
          </w:p>
        </w:tc>
        <w:tc>
          <w:tcPr>
            <w:tcW w:type="dxa" w:w="1337"/>
          </w:tcPr>
          <w:p>
            <w:r>
              <w:t>5</w:t>
            </w:r>
          </w:p>
        </w:tc>
        <w:tc>
          <w:tcPr>
            <w:tcW w:type="dxa" w:w="1337"/>
          </w:tcPr>
          <w:p>
            <w:r>
              <w:t>4.3%</w:t>
            </w:r>
          </w:p>
        </w:tc>
        <w:tc>
          <w:tcPr>
            <w:tcW w:type="dxa" w:w="1337"/>
          </w:tcPr>
          <w:p>
            <w:r>
              <w:t>10.38%</w:t>
            </w:r>
          </w:p>
        </w:tc>
        <w:tc>
          <w:tcPr>
            <w:tcW w:type="dxa" w:w="1337"/>
          </w:tcPr>
          <w:p>
            <w:r>
              <w:t>12.6%</w:t>
            </w:r>
          </w:p>
        </w:tc>
        <w:tc>
          <w:tcPr>
            <w:tcW w:type="dxa" w:w="1337"/>
          </w:tcPr>
          <w:p>
            <w:r>
              <w:t>11.29%</w:t>
            </w:r>
          </w:p>
        </w:tc>
        <w:tc>
          <w:tcPr>
            <w:tcW w:type="dxa" w:w="1337"/>
          </w:tcPr>
          <w:p>
            <w:r>
              <w:t>9.21%</w:t>
            </w:r>
          </w:p>
        </w:tc>
      </w:tr>
      <w:tr>
        <w:tc>
          <w:tcPr>
            <w:tcW w:type="dxa" w:w="1337"/>
          </w:tcPr>
          <w:p>
            <w:r>
              <w:t>2022</w:t>
            </w:r>
          </w:p>
        </w:tc>
        <w:tc>
          <w:tcPr>
            <w:tcW w:type="dxa" w:w="1337"/>
          </w:tcPr>
          <w:p>
            <w:r>
              <w:t>5</w:t>
            </w:r>
          </w:p>
        </w:tc>
        <w:tc>
          <w:tcPr>
            <w:tcW w:type="dxa" w:w="1337"/>
          </w:tcPr>
          <w:p>
            <w:r>
              <w:t>5.2%</w:t>
            </w:r>
          </w:p>
        </w:tc>
        <w:tc>
          <w:tcPr>
            <w:tcW w:type="dxa" w:w="1337"/>
          </w:tcPr>
          <w:p>
            <w:r>
              <w:t>2.05%</w:t>
            </w:r>
          </w:p>
        </w:tc>
        <w:tc>
          <w:tcPr>
            <w:tcW w:type="dxa" w:w="1337"/>
          </w:tcPr>
          <w:p>
            <w:r>
              <w:t>3.6%</w:t>
            </w:r>
          </w:p>
        </w:tc>
        <w:tc>
          <w:tcPr>
            <w:tcW w:type="dxa" w:w="1337"/>
          </w:tcPr>
          <w:p>
            <w:r>
              <w:t>-15.36%</w:t>
            </w:r>
          </w:p>
        </w:tc>
        <w:tc>
          <w:tcPr>
            <w:tcW w:type="dxa" w:w="1337"/>
          </w:tcPr>
          <w:p>
            <w:r>
              <w:t>-2.85%</w:t>
            </w:r>
          </w:p>
        </w:tc>
      </w:tr>
      <w:tr>
        <w:tc>
          <w:tcPr>
            <w:tcW w:type="dxa" w:w="1337"/>
          </w:tcPr>
          <w:p>
            <w:r>
              <w:t>2023</w:t>
            </w:r>
          </w:p>
        </w:tc>
        <w:tc>
          <w:tcPr>
            <w:tcW w:type="dxa" w:w="1337"/>
          </w:tcPr>
          <w:p>
            <w:r>
              <w:t>5</w:t>
            </w:r>
          </w:p>
        </w:tc>
        <w:tc>
          <w:tcPr>
            <w:tcW w:type="dxa" w:w="1337"/>
          </w:tcPr>
          <w:p>
            <w:r>
              <w:t>13.5%</w:t>
            </w:r>
          </w:p>
        </w:tc>
        <w:tc>
          <w:tcPr>
            <w:tcW w:type="dxa" w:w="1337"/>
          </w:tcPr>
          <w:p>
            <w:r>
              <w:t>12.66%</w:t>
            </w:r>
          </w:p>
        </w:tc>
        <w:tc>
          <w:tcPr>
            <w:tcW w:type="dxa" w:w="1337"/>
          </w:tcPr>
          <w:p>
            <w:r>
              <w:t>14.4%</w:t>
            </w:r>
          </w:p>
        </w:tc>
        <w:tc>
          <w:tcPr>
            <w:tcW w:type="dxa" w:w="1337"/>
          </w:tcPr>
          <w:p>
            <w:r>
              <w:t>9.25%</w:t>
            </w:r>
          </w:p>
        </w:tc>
        <w:tc>
          <w:tcPr>
            <w:tcW w:type="dxa" w:w="1337"/>
          </w:tcPr>
          <w:p>
            <w:r>
              <w:t>12.99%</w:t>
            </w:r>
          </w:p>
        </w:tc>
      </w:tr>
      <w:tr>
        <w:tc>
          <w:tcPr>
            <w:tcW w:type="dxa" w:w="1337"/>
          </w:tcPr>
          <w:p>
            <w:r>
              <w:t>2024</w:t>
            </w:r>
          </w:p>
        </w:tc>
        <w:tc>
          <w:tcPr>
            <w:tcW w:type="dxa" w:w="1337"/>
          </w:tcPr>
          <w:p>
            <w:r>
              <w:t>5</w:t>
            </w:r>
          </w:p>
        </w:tc>
        <w:tc>
          <w:tcPr>
            <w:tcW w:type="dxa" w:w="1337"/>
          </w:tcPr>
          <w:p>
            <w:r>
              <w:t>11.5%</w:t>
            </w:r>
          </w:p>
        </w:tc>
        <w:tc>
          <w:tcPr>
            <w:tcW w:type="dxa" w:w="1337"/>
          </w:tcPr>
          <w:p>
            <w:r>
              <w:t>12.62%</w:t>
            </w:r>
          </w:p>
        </w:tc>
        <w:tc>
          <w:tcPr>
            <w:tcW w:type="dxa" w:w="1337"/>
          </w:tcPr>
          <w:p>
            <w:r>
              <w:t>11%</w:t>
            </w:r>
          </w:p>
        </w:tc>
        <w:tc>
          <w:tcPr>
            <w:tcW w:type="dxa" w:w="1337"/>
          </w:tcPr>
          <w:p>
            <w:r>
              <w:t>15.27%</w:t>
            </w:r>
          </w:p>
        </w:tc>
        <w:tc>
          <w:tcPr>
            <w:tcW w:type="dxa" w:w="1337"/>
          </w:tcPr>
          <w:p>
            <w:r>
              <w:t>10.39%</w:t>
            </w:r>
          </w:p>
        </w:tc>
      </w:tr>
      <w:tr>
        <w:tc>
          <w:tcPr>
            <w:tcW w:type="dxa" w:w="1337"/>
          </w:tcPr>
          <w:p>
            <w:r>
              <w:t>2025</w:t>
            </w:r>
          </w:p>
        </w:tc>
        <w:tc>
          <w:tcPr>
            <w:tcW w:type="dxa" w:w="1337"/>
          </w:tcPr>
          <w:p>
            <w:r>
              <w:t>5</w:t>
            </w:r>
          </w:p>
        </w:tc>
        <w:tc>
          <w:tcPr>
            <w:tcW w:type="dxa" w:w="1337"/>
          </w:tcPr>
          <w:p>
            <w:r>
              <w:t>7.9%</w:t>
            </w:r>
          </w:p>
        </w:tc>
        <w:tc>
          <w:tcPr>
            <w:tcW w:type="dxa" w:w="1337"/>
          </w:tcPr>
          <w:p>
            <w:r>
              <w:t>8.92%</w:t>
            </w:r>
          </w:p>
        </w:tc>
        <w:tc>
          <w:tcPr>
            <w:tcW w:type="dxa" w:w="1337"/>
          </w:tcPr>
          <w:p>
            <w:r>
              <w:t>8%</w:t>
            </w:r>
          </w:p>
        </w:tc>
        <w:tc>
          <w:tcPr>
            <w:tcW w:type="dxa" w:w="1337"/>
          </w:tcPr>
          <w:p>
            <w:r>
              <w:t>12.2%</w:t>
            </w:r>
          </w:p>
        </w:tc>
        <w:tc>
          <w:tcPr>
            <w:tcW w:type="dxa" w:w="1337"/>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ranked below the selected candidate: 8/12 vs 9/12 for CDLI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$4.0B per year (20% of approx. $19.8B net assets, cell 3.6). The plan's demand at the filed rate is $31.9M per year, 0.81%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$19.8B net assets (cell 3.6) is $4.0B per year. At a 5% allocation ($490.5M) the plan's demand at the filed rate is $31.9M per year, 0.81%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plan_consulting_alumni.json (Form 5500, plan year 2024-01-01 to 2024-12-31).</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t>
      </w:r>
    </w:p>
    <w:p>
      <w:r>
        <w:t>Meaningful benchmark (paragraph (k)): Cliffwater Direct Lending Index (CDLI) at 9/12, cited, series not in the record. Peer comparison (paragraphs (g) and (h)): relative wealth ratio 1.0127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10, partial 9, fetched 1, n/a 9, pending 0. 46 of 46 resolvable, 0 verified, 9 n/a by wrapper.</w:t>
      </w:r>
    </w:p>
    <w:p>
      <w:r>
        <w:t>Of the 45 evidenced cells, 45 carry a source document, 45 a section, 35 a verbatim quote (computed cells carry their computation and inputs instead of a quote) and 45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1.12</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