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PIMCO Flexible Credit Income Fund (TRUE interval fund (Rule 23c-3), flexible credit, CIK 1688554)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8/12: no comparison computed (cited, series not in the record: no comparison computed).</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c>
          <w:tcPr>
            <w:tcW w:type="dxa" w:w="1728"/>
          </w:tcPr>
          <w:p>
            <w:r>
              <w:t>2. Fees (h)</w:t>
            </w:r>
          </w:p>
        </w:tc>
        <w:tc>
          <w:tcPr>
            <w:tcW w:type="dxa" w:w="7632"/>
          </w:tcPr>
          <w:p>
            <w:r>
              <w:t>Typed facts: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 documented structural absence of an Acquired Fund Fees and Expenses line item.</w:t>
            </w:r>
          </w:p>
          <w:p>
            <w:r>
              <w:t>2.6 Loads &amp; servicing fees (extracted-unverified): Per class (486BPOS, Oct 2025): Institutional (PFLEX) -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Source: this plan's liquidity match.</w:t>
            </w:r>
          </w:p>
          <w:p>
            <w:r>
              <w:t>3.9 Product-to-plan liquidity match (computed, this plan): Structural liquidity verdict CONDITIONAL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c>
          <w:tcPr>
            <w:tcW w:type="dxa" w:w="1728"/>
          </w:tcPr>
          <w:p>
            <w:r>
              <w:t>5. Performance Benchmarks (k)</w:t>
            </w:r>
          </w:p>
        </w:tc>
        <w:tc>
          <w:tcPr>
            <w:tcW w:type="dxa" w:w="7632"/>
          </w:tcPr>
          <w:p>
            <w:r>
              <w:t>Typed facts: 5.3 CDLI selected, 8/12.</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 no K-1.</w:t>
            </w:r>
          </w:p>
          <w:p>
            <w:r>
              <w:t>6.5 Service-provider web (extracted-unverified): Investment Manager: PIMCO (Pacific Investment Management Company LLC), Newport Beach.</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(PFLEX).</w:t>
      </w:r>
    </w:p>
    <w:p>
      <w:pPr>
        <w:pStyle w:val="Heading2"/>
      </w:pPr>
      <w:r>
        <w:t>Meaningful benchmark (paragraph (k)): Cliffwater Direct Lending Index (CDLI) (score 8/12)</w:t>
      </w:r>
    </w:p>
    <w:p>
      <w:r>
        <w:t>Comparison not computed: cited, series not in the record: no comparison computed. The candidate is selected on its own descriptors. No number is substituted.</w:t>
      </w:r>
    </w:p>
    <w:p>
      <w:r>
        <w:t>Tied on score with Senior loan investable proxy (BKLN, for Morningstar LSTA class): ordered by strategy_match, then risk_liquidity_match, then data held, then alphabetical.</w:t>
      </w:r>
    </w:p>
    <w:p>
      <w:pPr>
        <w:pStyle w:val="ListBullet"/>
      </w:pPr>
      <w:r>
        <w:t>strategy_match 2/3: same asset class, different sub-strategy (direct lending vs multi-sector credit)</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pPr>
      <w:r>
        <w:t>Declared benchmark and SEC-required comparators (cell 5.1)</w:t>
      </w:r>
    </w:p>
    <w:p>
      <w:r>
        <w:t>SEC-required comparator: ICE BofA US High Yield Index, cited, not held, scored 6/12, below the threshold. The declaration itself earns no points.</w:t>
      </w:r>
    </w:p>
    <w:p>
      <w:r>
        <w:t>No comparison: cited, series not in the record: no comparison computed.</w:t>
      </w:r>
    </w:p>
    <w:p>
      <w:r>
        <w:t>Declared benchmark: none. cell 5.1: documented absence of a self-declared benchmark.</w:t>
      </w:r>
    </w:p>
    <w:p>
      <w:pPr>
        <w:pStyle w:val="Heading2"/>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PIMCO Flexible Credit Income Fund</w:t>
            </w:r>
          </w:p>
        </w:tc>
        <w:tc>
          <w:tcPr>
            <w:tcW w:type="dxa" w:w="1337"/>
          </w:tcPr>
          <w:p>
            <w:r>
              <w:t>Cliffwater Corporate Lending Fund</w:t>
            </w:r>
          </w:p>
        </w:tc>
        <w:tc>
          <w:tcPr>
            <w:tcW w:type="dxa" w:w="1337"/>
          </w:tcPr>
          <w:p>
            <w:r>
              <w:t>Blackstone Private Credit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2.86%</w:t>
            </w:r>
          </w:p>
        </w:tc>
        <w:tc>
          <w:tcPr>
            <w:tcW w:type="dxa" w:w="1337"/>
          </w:tcPr>
          <w:p>
            <w:r>
              <w:t>n/a</w:t>
            </w:r>
          </w:p>
        </w:tc>
        <w:tc>
          <w:tcPr>
            <w:tcW w:type="dxa" w:w="1337"/>
          </w:tcPr>
          <w:p>
            <w:r>
              <w:t>n/a</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10.63%</w:t>
            </w:r>
          </w:p>
        </w:tc>
        <w:tc>
          <w:tcPr>
            <w:tcW w:type="dxa" w:w="1337"/>
          </w:tcPr>
          <w:p>
            <w:r>
              <w:t>n/a</w:t>
            </w:r>
          </w:p>
        </w:tc>
        <w:tc>
          <w:tcPr>
            <w:tcW w:type="dxa" w:w="1337"/>
          </w:tcPr>
          <w:p>
            <w:r>
              <w:t>n/a</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4.29%</w:t>
            </w:r>
          </w:p>
        </w:tc>
        <w:tc>
          <w:tcPr>
            <w:tcW w:type="dxa" w:w="1337"/>
          </w:tcPr>
          <w:p>
            <w:r>
              <w:t>5.39%</w:t>
            </w:r>
          </w:p>
        </w:tc>
        <w:tc>
          <w:tcPr>
            <w:tcW w:type="dxa" w:w="1337"/>
          </w:tcPr>
          <w:p>
            <w:r>
              <w:t>n/a</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11.29%</w:t>
            </w:r>
          </w:p>
        </w:tc>
        <w:tc>
          <w:tcPr>
            <w:tcW w:type="dxa" w:w="1337"/>
          </w:tcPr>
          <w:p>
            <w:r>
              <w:t>10.38%</w:t>
            </w:r>
          </w:p>
        </w:tc>
        <w:tc>
          <w:tcPr>
            <w:tcW w:type="dxa" w:w="1337"/>
          </w:tcPr>
          <w:p>
            <w:r>
              <w:t>12.6%</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-15.36%</w:t>
            </w:r>
          </w:p>
        </w:tc>
        <w:tc>
          <w:tcPr>
            <w:tcW w:type="dxa" w:w="1337"/>
          </w:tcPr>
          <w:p>
            <w:r>
              <w:t>2.05%</w:t>
            </w:r>
          </w:p>
        </w:tc>
        <w:tc>
          <w:tcPr>
            <w:tcW w:type="dxa" w:w="1337"/>
          </w:tcPr>
          <w:p>
            <w:r>
              <w:t>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9.25%</w:t>
            </w:r>
          </w:p>
        </w:tc>
        <w:tc>
          <w:tcPr>
            <w:tcW w:type="dxa" w:w="1337"/>
          </w:tcPr>
          <w:p>
            <w:r>
              <w:t>12.66%</w:t>
            </w:r>
          </w:p>
        </w:tc>
        <w:tc>
          <w:tcPr>
            <w:tcW w:type="dxa" w:w="1337"/>
          </w:tcPr>
          <w:p>
            <w:r>
              <w:t>14.4%</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15.27%</w:t>
            </w:r>
          </w:p>
        </w:tc>
        <w:tc>
          <w:tcPr>
            <w:tcW w:type="dxa" w:w="1337"/>
          </w:tcPr>
          <w:p>
            <w:r>
              <w:t>12.62%</w:t>
            </w:r>
          </w:p>
        </w:tc>
        <w:tc>
          <w:tcPr>
            <w:tcW w:type="dxa" w:w="1337"/>
          </w:tcPr>
          <w:p>
            <w:r>
              <w:t>11%</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12.2%</w:t>
            </w:r>
          </w:p>
        </w:tc>
        <w:tc>
          <w:tcPr>
            <w:tcW w:type="dxa" w:w="1337"/>
          </w:tcPr>
          <w:p>
            <w:r>
              <w:t>8.92%</w:t>
            </w:r>
          </w:p>
        </w:tc>
        <w:tc>
          <w:tcPr>
            <w:tcW w:type="dxa" w:w="1337"/>
          </w:tcPr>
          <w:p>
            <w:r>
              <w:t>8%</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tied: tied on score, ordered by strategy_match, then risk_liquidity_match, then data held, then alphabetical (score 8/12, selected CDLI)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ICE BofA US High Yield Index</w:t>
            </w:r>
          </w:p>
        </w:tc>
        <w:tc>
          <w:tcPr>
            <w:tcW w:type="dxa" w:w="1008"/>
          </w:tcPr>
          <w:p>
            <w:r>
              <w:t>6/12</w:t>
            </w:r>
          </w:p>
        </w:tc>
        <w:tc>
          <w:tcPr>
            <w:tcW w:type="dxa" w:w="5472"/>
          </w:tcPr>
          <w:p>
            <w:r>
              <w:t>score 6/12 below the threshold 7/12 Criteria: strategy_match 2/3: the public-market version of the asset class (high yield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(ICE Data Indices):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outstanding shares.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w:t>
      </w:r>
    </w:p>
    <w:p>
      <w:r>
        <w:t>Fund capacity in dollars: $719.4M per year (20% of approx. $3.6B net assets, cell 3.6). The plan's demand at the filed rate is $31.9M per year, 4.43%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Fund capacity in dollars: 20% of approx. $3.6B net assets (cell 3.6) is $719.4M per year. At a 5% allocation ($490.5M) the plan's demand at the filed rate is $31.9M per year, 4.43%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plan_consulting_alumni.json (Form 5500, plan year 2024-01-01 to 2024-12-31).</w:t>
      </w:r>
    </w:p>
    <w:p>
      <w:pPr>
        <w:pStyle w:val="Heading1"/>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Global management-consulting firm profit-sharing/401(k) plan (~$9.8B, NY) (ILLUSTRATIVE): CONDITIONAL.</w:t>
      </w:r>
    </w:p>
    <w:p>
      <w:r>
        <w:t>Meaningful benchmark (paragraph (k)): Cliffwater Direct Lending Index (CDLI) at 8/12, cited, series not in the record. Peer comparison (paragraphs (g) and (h)): relative wealth ratio 0.8757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14, partial 2, fetched 1, n/a 11, pending 0. 44 of 44 resolvable, 0 verified, 11 n/a by wrapper.</w:t>
      </w:r>
    </w:p>
    <w:p>
      <w:r>
        <w:t>Of the 43 evidenced cells, 43 carry a source document, 43 a section, 29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1.2</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1.4</w:t>
            </w:r>
          </w:p>
        </w:tc>
        <w:tc>
          <w:tcPr>
            <w:tcW w:type="dxa" w:w="3456"/>
          </w:tcPr>
          <w:p>
            <w:r>
              <w:t>486BPOS prospectus (filed 2025-10-24) + N-CSR FY2025 (filed 2025-09-05),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1.12</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2.1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2.2</w:t>
            </w:r>
          </w:p>
        </w:tc>
        <w:tc>
          <w:tcPr>
            <w:tcW w:type="dxa" w:w="3456"/>
          </w:tcPr>
          <w:p>
            <w:r>
              <w:t>486BPOS prospectus (filed 2025-10-24) + N-CSR FY2025 Note 9,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2.3</w:t>
            </w:r>
          </w:p>
        </w:tc>
        <w:tc>
          <w:tcPr>
            <w:tcW w:type="dxa" w:w="3456"/>
          </w:tcPr>
          <w:p>
            <w:r>
              <w:t>486BPOS prospectus (filed 2025-10-24) + N-CSR FY2025 Financial Highlights,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2.4</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2.6</w:t>
            </w:r>
          </w:p>
        </w:tc>
        <w:tc>
          <w:tcPr>
            <w:tcW w:type="dxa" w:w="3456"/>
          </w:tcPr>
          <w:p>
            <w:r>
              <w:t>486BPOS prospectus (filed 2025-10-24) + N-CSR FY2025 Note 9(b),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2.7</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3.2</w:t>
            </w:r>
          </w:p>
        </w:tc>
        <w:tc>
          <w:tcPr>
            <w:tcW w:type="dxa" w:w="3456"/>
          </w:tcPr>
          <w:p>
            <w:r>
              <w:t>N-23C3A repurchase offer notification (filed 2026-07-02), CIK 1688554</w:t>
            </w:r>
          </w:p>
        </w:tc>
        <w:tc>
          <w:tcPr>
            <w:tcW w:type="dxa" w:w="5184"/>
          </w:tcPr>
          <w:p>
            <w:r>
              <w:t>N-23C3A 2026-07-02 accession 0001193125-26-293846 https://www.sec.gov/Archives/edgar/data/1688554/000119312526293846/d82304dn23c3a.htm</w:t>
            </w:r>
          </w:p>
        </w:tc>
      </w:tr>
      <w:tr>
        <w:tc>
          <w:tcPr>
            <w:tcW w:type="dxa" w:w="720"/>
          </w:tcPr>
          <w:p>
            <w:r>
              <w:t>3.3</w:t>
            </w:r>
          </w:p>
        </w:tc>
        <w:tc>
          <w:tcPr>
            <w:tcW w:type="dxa" w:w="3456"/>
          </w:tcPr>
          <w:p>
            <w:r>
              <w:t>N-CSR FY2025 (filed 2025-09-05) + 8 N-23C3A filings 2024-10-07..2026-07-02, CIK 1688554</w:t>
            </w:r>
          </w:p>
        </w:tc>
        <w:tc>
          <w:tcPr>
            <w:tcW w:type="dxa" w:w="5184"/>
          </w:tcPr>
          <w:p>
            <w:r>
              <w:t>N-CSR 2025-09-05 accession 0001193125-25-196888 https://www.sec.gov/Archives/edgar/data/1688554/000119312525196888/d96151dncsr.htm</w:t>
            </w:r>
          </w:p>
          <w:p>
            <w:r>
              <w:t>N-23C3A, 8 N-23C3A filings held between 2024-10-07 and 2026-07-02:</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2025-04-07 accession 0001193125-25-074359 https://www.sec.gov/Archives/edgar/data/1688554/000119312525074359/d946382dn23c3a.htm</w:t>
            </w:r>
          </w:p>
          <w:p>
            <w:r>
              <w:t>2025-07-07 accession 0001193125-25-156047 https://www.sec.gov/Archives/edgar/data/1688554/000119312525156047/d51930dn23c3a.htm</w:t>
            </w:r>
          </w:p>
          <w:p>
            <w:r>
              <w:t>2025-10-06 accession 0001193125-25-231398 https://www.sec.gov/Archives/edgar/data/1688554/000119312525231398/d22052dn23c3a.htm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3.4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3.6</w:t>
            </w:r>
          </w:p>
        </w:tc>
        <w:tc>
          <w:tcPr>
            <w:tcW w:type="dxa" w:w="3456"/>
          </w:tcPr>
          <w:p>
            <w:r>
              <w:t>486BPOS prospectus (filed 2025-10-24) + N-CSR FY2025,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4.5</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4.6</w:t>
            </w:r>
          </w:p>
        </w:tc>
        <w:tc>
          <w:tcPr>
            <w:tcW w:type="dxa" w:w="3456"/>
          </w:tcPr>
          <w:p>
            <w:r>
              <w:t>N-CSR FY2025 (filed 2025-09-05) + all on-disk PFLEX filings, CIK 1688554</w:t>
            </w:r>
          </w:p>
        </w:tc>
        <w:tc>
          <w:tcPr>
            <w:tcW w:type="dxa" w:w="5184"/>
          </w:tcPr>
          <w:p>
            <w:r>
              <w:t>N-CSR 2025-09-05 accession 0001193125-25-196888 https://www.sec.gov/Archives/edgar/data/1688554/000119312525196888/d96151dncsr.htm</w:t>
            </w:r>
          </w:p>
          <w:p>
            <w:r>
              <w:t>*, cited as all filings held for the product, 11 held:</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2025-04-04 accession 0001193125-25-073516 https://www.sec.gov/Archives/edgar/data/1688554/000119312525073516/d943731d424b3.htm</w:t>
            </w:r>
          </w:p>
          <w:p>
            <w:r>
              <w:t>2025-04-07 accession 0001193125-25-074359 https://www.sec.gov/Archives/edgar/data/1688554/000119312525074359/d946382dn23c3a.htm</w:t>
            </w:r>
          </w:p>
          <w:p>
            <w:r>
              <w:t>2025-07-07 accession 0001193125-25-156047 https://www.sec.gov/Archives/edgar/data/1688554/000119312525156047/d51930dn23c3a.htm</w:t>
            </w:r>
          </w:p>
          <w:p>
            <w:r>
              <w:t>2025-09-05 accession 0001193125-25-196888 https://www.sec.gov/Archives/edgar/data/1688554/000119312525196888/d96151dncsr.htm</w:t>
            </w:r>
          </w:p>
          <w:p>
            <w:r>
              <w:t>2025-10-06 accession 0001193125-25-231398 https://www.sec.gov/Archives/edgar/data/1688554/000119312525231398/d22052dn23c3a.htm</w:t>
            </w:r>
          </w:p>
          <w:p>
            <w:r>
              <w:t>2025-10-24 accession 0001193125-25-249009 https://www.sec.gov/Archives/edgar/data/1688554/000119312525249009/d61964d486bpos.htm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5.3</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6.5</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bl>
    <w:p>
      <w:r>
        <w:t>Data sources: SEC EDGAR filings (11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