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Ares Private Markets Fund (tender-offer fund ('40 Act), CIK 1876006)</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1.5712, Direct Alpha 11.97%/yr over 2022-04-01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1.5712, Direct Alpha 11.97%/yr, 2022-04-01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1.1283, Direct Alpha 3.07%/yr, 2022-04-01 to 2026-03-31</w:t>
            </w:r>
          </w:p>
        </w:tc>
      </w:tr>
      <w:tr>
        <w:tc>
          <w:tcPr>
            <w:tcW w:type="dxa" w:w="1152"/>
          </w:tcPr>
          <w:p>
            <w:r>
              <w:t>Peer comparison (paragraphs (g) and (h))</w:t>
            </w:r>
          </w:p>
        </w:tc>
        <w:tc>
          <w:tcPr>
            <w:tcW w:type="dxa" w:w="3456"/>
          </w:tcPr>
          <w:p>
            <w:r>
              <w:t>Peer composite, evergreen private equity cohort without Ares Private Markets Fund</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AMG Pantheon Fund, LLC fiscal years to month 03, Ares Private Markets Fund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(tendered-versus-accepted amounts and proration incidence per offer are not printed (final tender amendments not on disk). Four offers in each of FY2025 and FY2026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tendered-versus-accepted amounts and proration incidence per offer are not printed (final tender amendments not on disk). Four offers in each of FY2025 and FY2026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1.40% on managed assets (leverage-inclusive)</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c>
          <w:tcPr>
            <w:tcW w:type="dxa" w:w="2880"/>
          </w:tcPr>
          <w:p>
            <w:r>
              <w:t>2.4 AFFE</w:t>
            </w:r>
          </w:p>
        </w:tc>
        <w:tc>
          <w:tcPr>
            <w:tcW w:type="dxa" w:w="3600"/>
          </w:tcPr>
          <w:p>
            <w:r>
              <w:t>AFFE 1.00%</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Secondaries-led evergreen PE tender-offer fund - wrapper and strategy twin of hl_paf/stepstone_spm.</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28, verified 0, computed 11, partial 2,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