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ARK Venture Fund (TRUE interval fund (Rule 23c-3), venture/growth (ARKVX), CIK 1905088)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 the Fund runs a net investment loss).</w:t>
            </w:r>
          </w:p>
          <w:p>
            <w:r>
              <w:t>1.6 Volatility &amp; max drawdown (computed): Computed from the held daily series ARKVX (Yahoo adjusted close, approximates NAV total return with distributions reinvested), 2022-08-31 to 2026-08-13: annualized volatility 24.45% on 48 monthly returns, max drawdown -19.1% on the daily series (peak 2023-07-31 to trough 2023-10-30).</w:t>
            </w:r>
          </w:p>
          <w:p>
            <w:r>
              <w:t>1.7 De-smoothed volatility (computed): De-smoothed (Geltner AR1) annualized volatility 23.99% vs 24.45% observed (lag-1 autocorrelation rho -0.026, n=48 monthly returns of the held daily series ARKVX, Yahoo adjusted close, approximates NAV total return with distributions reinvested).</w:t>
            </w:r>
          </w:p>
          <w:p>
            <w:r>
              <w:t>1.8 Risk-adjusted metrics (PME etc) (computed): No KS-PME or Direct Alpha computable for the meaningful-benchmark slot: NO MEANINGFUL BENCHMARK CONSTRUCTIBLE from the candidates scored for this pre-IPO and venture fund: no candidate passes the strategy gate at or above 7/12.</w:t>
            </w:r>
          </w:p>
          <w:p>
            <w:r>
              <w:t>1.9 Stress-window performance (computed): Computed stress-window performance from the held daily series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1.12 Peer comparison (paragraphs (g) and (h)) (computed): Peer comparison (paragraphs (g) and (h)): pre-IPO and venture cohort, peers Destiny Tech100 Inc, Neostellar Capital Corp., fund return basis Yahoo adjusted close, approximates NAV total return (ARKVX).</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c>
          <w:tcPr>
            <w:tcW w:type="dxa" w:w="1728"/>
          </w:tcPr>
          <w:p>
            <w:r>
              <w:t>2. Fees (h)</w:t>
            </w:r>
          </w:p>
        </w:tc>
        <w:tc>
          <w:tcPr>
            <w:tcW w:type="dxa" w:w="7632"/>
          </w:tcPr>
          <w:p>
            <w:r>
              <w:t>Typed facts: 2.1 2.75% on net assets. 2.2 incentive fee: none. 2.3 2.90% expense ratio, net of waivers, 4.39% gross (FY2025). 2.4 AFFE 0.01%. 2.7 early repurchase fee: none.</w:t>
            </w:r>
          </w:p>
          <w:p>
            <w:r>
              <w:t>2.1 Management fee (rate AND base) (extracted-unverified): RATE: 2.75% per annum.</w:t>
            </w:r>
          </w:p>
          <w:p>
            <w:r>
              <w:t>2.2 Incentive fee terms (extracted-unverified): None -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(pre-IPO and venture cohort):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c>
          <w:tcPr>
            <w:tcW w:type="dxa" w:w="1728"/>
          </w:tcPr>
          <w:p>
            <w:r>
              <w:t>3. Liquidity (i)</w:t>
            </w:r>
          </w:p>
        </w:tc>
        <w:tc>
          <w:tcPr>
            <w:tcW w:type="dxa" w:w="7632"/>
          </w:tcPr>
          <w:p>
            <w:r>
              <w:t>Typed facts: 3.1 quarterly dealing, 5% cap per quarter on outstanding shares. 3.9 structural verdict partial, plan-independent.</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 borrowings/notes up to 33 1/3% of total assets (preferred shares 50%), used opportunistically; reverse repos/dollar rolls also permitted.</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no TDF/CIT vehicle exists; liquidity is delivered by the interval-fund wrapper itself.</w:t>
            </w:r>
          </w:p>
        </w:tc>
      </w:tr>
      <w:tr>
        <w:tc>
          <w:tcPr>
            <w:tcW w:type="dxa" w:w="1728"/>
          </w:tcPr>
          <w:p>
            <w:r>
              <w:t>4. Valuation (j)</w:t>
            </w:r>
          </w:p>
        </w:tc>
        <w:tc>
          <w:tcPr>
            <w:tcW w:type="dxa" w:w="7632"/>
          </w:tcPr>
          <w:p>
            <w:r>
              <w:t>Typed facts: 4.5 Ernst &amp; Young LLP (Big 4).</w:t>
            </w:r>
          </w:p>
          <w:p>
            <w:r>
              <w:t>4.1 Valuation policy &amp; NAV frequency (extracted-unverified): NAV FREQUENCY: daily - determined each business day at NYSE close (ordinarily 4:00 p.m. ET), per-class; fees/expenses accrued daily.</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 closing prices on principal market (Level 1); money market fund - at its NAV; ALL private-company types (preferred, common, SAFEs, convertible interest rights, convertible notes, warrants) -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autocorrelation rho -0.026 on n=48 monthly returns of ARKVX (Yahoo adjusted close, approximates NAV total return with distributions reinvested), observed annualized volatility 24.45% vs de-smoothed 23.99%.</w:t>
            </w:r>
          </w:p>
          <w:p>
            <w:r>
              <w:t>Not applicable: 4.7 no market price for a non-listed NAV-transaction wrapper. 4.9 not a CIT; valuation happens at the registered fund itself and there is no CIT unit layer.</w:t>
            </w:r>
          </w:p>
        </w:tc>
      </w:tr>
      <w:tr>
        <w:tc>
          <w:tcPr>
            <w:tcW w:type="dxa" w:w="1728"/>
          </w:tcPr>
          <w:p>
            <w:r>
              <w:t>5. Performance Benchmarks (k)</w:t>
            </w:r>
          </w:p>
        </w:tc>
        <w:tc>
          <w:tcPr>
            <w:tcW w:type="dxa" w:w="7632"/>
          </w:tcPr>
          <w:p>
            <w:r>
              <w:t>5.1 Self-declared benchmark (extracted-unverified): No prospectus-declared benchmark: the word 'benchmark' has zero occurrences in the 486BPOS (searched 2026-08-15).</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pre-IPO and venture cohort (n=3: Destiny Tech100 Inc, Neostellar Capital Corp., ARK Venture Fund).</w:t>
            </w:r>
          </w:p>
          <w:p>
            <w:r>
              <w:t>5.5 PME / Direct Alpha inputs (computed): No public market series comparison is computable on held data, so no PME inputs exist for this product: NO MEANINGFUL BENCHMARK CONSTRUCTIBLE from the candidates scored for this pre-IPO and venture fund: no candidate passes the strategy gate at or above 7/12.</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interval fund (Rule 23c-3). 6.4 Form 1099.</w:t>
            </w:r>
          </w:p>
          <w:p>
            <w:r>
              <w:t>6.1 Structure map (extracted-unverified): Delaware statutory trust (organized 1/11/2022) - non-diversified, closed-end, continuously-offered Rule 23c-3 interval fund (1940 Act file 811-23778); Adviser ARK Investment Management LLC. Private exposure held through wholly-owned consolidated subsidiary ARK Venture Private Holdings LLC (Delaware LLC, Fund is sole member) and its subsidiaries; prospectus tax section also discloses a Cayman Subsidiary treated as a CFC.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 Petersburg, FL).</w:t>
            </w:r>
          </w:p>
          <w:p>
            <w:r>
              <w:t>Not applicable: 6.6 requires plan-specific recordkeeper/trading-integration facts - workflow cell completed per plan engagement, not public product data. 6.7 requires plan-committee participant-communication assessment - workflow cell; product-side inputs evidenced in 6.1/6.2/6.4. 6.8 fiduciary capacity self-assessment is the committee's own output; no public filing supplies it.</w:t>
            </w:r>
          </w:p>
        </w:tc>
      </w:tr>
    </w:tbl>
    <w:p>
      <w:pPr>
        <w:pStyle w:val="Heading1"/>
      </w:pPr>
      <w:r>
        <w:t>Benchmark selection and justification</w:t>
      </w:r>
    </w:p>
    <w:p>
      <w:r>
        <w:t>Return basis for every comparison in this section: Yahoo adjusted close, approximates NAV total return (ARKVX).</w:t>
      </w:r>
    </w:p>
    <w:p>
      <w:pPr>
        <w:pStyle w:val="Heading2"/>
      </w:pPr>
      <w:r>
        <w:t>ESCALATION: no meaningful benchmark constructible</w:t>
      </w:r>
    </w:p>
    <w:p>
      <w:r>
        <w:t>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No meaningful benchmark could be constructed from the data held. The record cannot support the paragraph (k) comparison until one is identified. This memo does not decide.</w:t>
      </w:r>
    </w:p>
    <w:p>
      <w:pPr>
        <w:pStyle w:val="Heading2"/>
      </w:pPr>
      <w:r>
        <w:t>Declared benchmark and SEC-required comparators (cell 5.1)</w:t>
      </w:r>
    </w:p>
    <w:p>
      <w:r>
        <w:t>SEC-required comparator: S&amp;P 500 Index, held, scored 7/12, fails the strategy gate (strategy_match 1/3). The declaration itself earns no points.</w:t>
      </w:r>
    </w:p>
    <w:p>
      <w:r>
        <w:t>Window 2022-08-31 to 2026-07-17 (clipped: proxy series ends 2026-07-17): fund 30.12%/yr (Yahoo adjusted close, approximates NAV total return) vs S&amp;P 500 Index 19.33%/yr, KS-PME 1.3988, Direct Alpha 9.04%/yr.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1.3812 (47 equal contributions at the window start and each month-end inside it, valued at the window end). The two-point figure is primary.</w:t>
      </w:r>
    </w:p>
    <w:p>
      <w:r>
        <w:t>SEC-required comparator: MSCI World (Net) Index, held, scored 7/12, fails the strategy gate (strategy_match 1/3). The declaration itself earns no points.</w:t>
      </w:r>
    </w:p>
    <w:p>
      <w:r>
        <w:t>Window 2022-08-31 to 2026-07-17 (clipped: proxy series ends 2026-07-17): fund 30.12%/yr (Yahoo adjusted close, approximates NAV total return) vs MSCI World (Net) Index 18.78%/yr, KS-PME 1.4242, Direct Alpha 9.55%/yr.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1.3985 (47 equal contributions at the window start and each month-end inside it, valued at the window end). The two-point figure is primary.</w:t>
      </w:r>
    </w:p>
    <w:p>
      <w:r>
        <w:t>Declared benchmark: none. cell 5.1: no prospectus-declared benchmark (zero occurrences of 'benchmark' in the 486BPOS).</w:t>
      </w:r>
    </w:p>
    <w:p>
      <w:pPr>
        <w:pStyle w:val="Heading2"/>
      </w:pPr>
      <w:r>
        <w:t>Peer comparison (paragraphs (g) and (h)): pre-IPO and venture cohort</w:t>
      </w:r>
    </w:p>
    <w:p>
      <w:r>
        <w:t>Peers: Destiny Tech100 Inc, Neostellar Capital Corp.. This is the history of similar investments, not the benchmark, and it is never a public market equivalent.</w:t>
      </w:r>
    </w:p>
    <w:p>
      <w:r>
        <w:t>Composite refused: fewer than 3 peers remain after leaving ARK Venture Fund out (2: Destiny Tech100 Inc, Neostellar Capital Corp.).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ARK Venture Fund</w:t>
            </w:r>
          </w:p>
        </w:tc>
        <w:tc>
          <w:tcPr>
            <w:tcW w:type="dxa" w:w="1872"/>
          </w:tcPr>
          <w:p>
            <w:r>
              <w:t>Destiny Tech100 Inc</w:t>
            </w:r>
          </w:p>
        </w:tc>
        <w:tc>
          <w:tcPr>
            <w:tcW w:type="dxa" w:w="1872"/>
          </w:tcPr>
          <w:p>
            <w:r>
              <w:t>Neostellar Capital Corp.</w:t>
            </w:r>
          </w:p>
        </w:tc>
      </w:tr>
      <w:tr>
        <w:tc>
          <w:tcPr>
            <w:tcW w:type="dxa" w:w="1872"/>
          </w:tcPr>
          <w:p>
            <w:r>
              <w:t>2017</w:t>
            </w:r>
          </w:p>
        </w:tc>
        <w:tc>
          <w:tcPr>
            <w:tcW w:type="dxa" w:w="1872"/>
          </w:tcPr>
          <w:p>
            <w:r>
              <w:t>1</w:t>
            </w:r>
          </w:p>
        </w:tc>
        <w:tc>
          <w:tcPr>
            <w:tcW w:type="dxa" w:w="1872"/>
          </w:tcPr>
          <w:p>
            <w:r>
              <w:t>n/a</w:t>
            </w:r>
          </w:p>
        </w:tc>
        <w:tc>
          <w:tcPr>
            <w:tcW w:type="dxa" w:w="1872"/>
          </w:tcPr>
          <w:p>
            <w:r>
              <w:t>n/a</w:t>
            </w:r>
          </w:p>
        </w:tc>
        <w:tc>
          <w:tcPr>
            <w:tcW w:type="dxa" w:w="1872"/>
          </w:tcPr>
          <w:p>
            <w:r>
              <w:t>8.35%</w:t>
            </w:r>
          </w:p>
        </w:tc>
      </w:tr>
      <w:tr>
        <w:tc>
          <w:tcPr>
            <w:tcW w:type="dxa" w:w="1872"/>
          </w:tcPr>
          <w:p>
            <w:r>
              <w:t>2018</w:t>
            </w:r>
          </w:p>
        </w:tc>
        <w:tc>
          <w:tcPr>
            <w:tcW w:type="dxa" w:w="1872"/>
          </w:tcPr>
          <w:p>
            <w:r>
              <w:t>1</w:t>
            </w:r>
          </w:p>
        </w:tc>
        <w:tc>
          <w:tcPr>
            <w:tcW w:type="dxa" w:w="1872"/>
          </w:tcPr>
          <w:p>
            <w:r>
              <w:t>n/a</w:t>
            </w:r>
          </w:p>
        </w:tc>
        <w:tc>
          <w:tcPr>
            <w:tcW w:type="dxa" w:w="1872"/>
          </w:tcPr>
          <w:p>
            <w:r>
              <w:t>n/a</w:t>
            </w:r>
          </w:p>
        </w:tc>
        <w:tc>
          <w:tcPr>
            <w:tcW w:type="dxa" w:w="1872"/>
          </w:tcPr>
          <w:p>
            <w:r>
              <w:t>-4.22%</w:t>
            </w:r>
          </w:p>
        </w:tc>
      </w:tr>
      <w:tr>
        <w:tc>
          <w:tcPr>
            <w:tcW w:type="dxa" w:w="1872"/>
          </w:tcPr>
          <w:p>
            <w:r>
              <w:t>2019</w:t>
            </w:r>
          </w:p>
        </w:tc>
        <w:tc>
          <w:tcPr>
            <w:tcW w:type="dxa" w:w="1872"/>
          </w:tcPr>
          <w:p>
            <w:r>
              <w:t>1</w:t>
            </w:r>
          </w:p>
        </w:tc>
        <w:tc>
          <w:tcPr>
            <w:tcW w:type="dxa" w:w="1872"/>
          </w:tcPr>
          <w:p>
            <w:r>
              <w:t>n/a</w:t>
            </w:r>
          </w:p>
        </w:tc>
        <w:tc>
          <w:tcPr>
            <w:tcW w:type="dxa" w:w="1872"/>
          </w:tcPr>
          <w:p>
            <w:r>
              <w:t>n/a</w:t>
            </w:r>
          </w:p>
        </w:tc>
        <w:tc>
          <w:tcPr>
            <w:tcW w:type="dxa" w:w="1872"/>
          </w:tcPr>
          <w:p>
            <w:r>
              <w:t>31.56%</w:t>
            </w:r>
          </w:p>
        </w:tc>
      </w:tr>
      <w:tr>
        <w:tc>
          <w:tcPr>
            <w:tcW w:type="dxa" w:w="1872"/>
          </w:tcPr>
          <w:p>
            <w:r>
              <w:t>2020</w:t>
            </w:r>
          </w:p>
        </w:tc>
        <w:tc>
          <w:tcPr>
            <w:tcW w:type="dxa" w:w="1872"/>
          </w:tcPr>
          <w:p>
            <w:r>
              <w:t>1</w:t>
            </w:r>
          </w:p>
        </w:tc>
        <w:tc>
          <w:tcPr>
            <w:tcW w:type="dxa" w:w="1872"/>
          </w:tcPr>
          <w:p>
            <w:r>
              <w:t>n/a</w:t>
            </w:r>
          </w:p>
        </w:tc>
        <w:tc>
          <w:tcPr>
            <w:tcW w:type="dxa" w:w="1872"/>
          </w:tcPr>
          <w:p>
            <w:r>
              <w:t>n/a</w:t>
            </w:r>
          </w:p>
        </w:tc>
        <w:tc>
          <w:tcPr>
            <w:tcW w:type="dxa" w:w="1872"/>
          </w:tcPr>
          <w:p>
            <w:r>
              <w:t>116.63%</w:t>
            </w:r>
          </w:p>
        </w:tc>
      </w:tr>
      <w:tr>
        <w:tc>
          <w:tcPr>
            <w:tcW w:type="dxa" w:w="1872"/>
          </w:tcPr>
          <w:p>
            <w:r>
              <w:t>2021</w:t>
            </w:r>
          </w:p>
        </w:tc>
        <w:tc>
          <w:tcPr>
            <w:tcW w:type="dxa" w:w="1872"/>
          </w:tcPr>
          <w:p>
            <w:r>
              <w:t>1</w:t>
            </w:r>
          </w:p>
        </w:tc>
        <w:tc>
          <w:tcPr>
            <w:tcW w:type="dxa" w:w="1872"/>
          </w:tcPr>
          <w:p>
            <w:r>
              <w:t>n/a</w:t>
            </w:r>
          </w:p>
        </w:tc>
        <w:tc>
          <w:tcPr>
            <w:tcW w:type="dxa" w:w="1872"/>
          </w:tcPr>
          <w:p>
            <w:r>
              <w:t>n/a</w:t>
            </w:r>
          </w:p>
        </w:tc>
        <w:tc>
          <w:tcPr>
            <w:tcW w:type="dxa" w:w="1872"/>
          </w:tcPr>
          <w:p>
            <w:r>
              <w:t>72.61%</w:t>
            </w:r>
          </w:p>
        </w:tc>
      </w:tr>
      <w:tr>
        <w:tc>
          <w:tcPr>
            <w:tcW w:type="dxa" w:w="1872"/>
          </w:tcPr>
          <w:p>
            <w:r>
              <w:t>2022</w:t>
            </w:r>
          </w:p>
        </w:tc>
        <w:tc>
          <w:tcPr>
            <w:tcW w:type="dxa" w:w="1872"/>
          </w:tcPr>
          <w:p>
            <w:r>
              <w:t>1</w:t>
            </w:r>
          </w:p>
        </w:tc>
        <w:tc>
          <w:tcPr>
            <w:tcW w:type="dxa" w:w="1872"/>
          </w:tcPr>
          <w:p>
            <w:r>
              <w:t>n/a</w:t>
            </w:r>
          </w:p>
        </w:tc>
        <w:tc>
          <w:tcPr>
            <w:tcW w:type="dxa" w:w="1872"/>
          </w:tcPr>
          <w:p>
            <w:r>
              <w:t>n/a</w:t>
            </w:r>
          </w:p>
        </w:tc>
        <w:tc>
          <w:tcPr>
            <w:tcW w:type="dxa" w:w="1872"/>
          </w:tcPr>
          <w:p>
            <w:r>
              <w:t>-70.31%</w:t>
            </w:r>
          </w:p>
        </w:tc>
      </w:tr>
      <w:tr>
        <w:tc>
          <w:tcPr>
            <w:tcW w:type="dxa" w:w="1872"/>
          </w:tcPr>
          <w:p>
            <w:r>
              <w:t>2023</w:t>
            </w:r>
          </w:p>
        </w:tc>
        <w:tc>
          <w:tcPr>
            <w:tcW w:type="dxa" w:w="1872"/>
          </w:tcPr>
          <w:p>
            <w:r>
              <w:t>2</w:t>
            </w:r>
          </w:p>
        </w:tc>
        <w:tc>
          <w:tcPr>
            <w:tcW w:type="dxa" w:w="1872"/>
          </w:tcPr>
          <w:p>
            <w:r>
              <w:t>61.25%</w:t>
            </w:r>
          </w:p>
        </w:tc>
        <w:tc>
          <w:tcPr>
            <w:tcW w:type="dxa" w:w="1872"/>
          </w:tcPr>
          <w:p>
            <w:r>
              <w:t>n/a</w:t>
            </w:r>
          </w:p>
        </w:tc>
        <w:tc>
          <w:tcPr>
            <w:tcW w:type="dxa" w:w="1872"/>
          </w:tcPr>
          <w:p>
            <w:r>
              <w:t>3.68%</w:t>
            </w:r>
          </w:p>
        </w:tc>
      </w:tr>
      <w:tr>
        <w:tc>
          <w:tcPr>
            <w:tcW w:type="dxa" w:w="1872"/>
          </w:tcPr>
          <w:p>
            <w:r>
              <w:t>2024</w:t>
            </w:r>
          </w:p>
        </w:tc>
        <w:tc>
          <w:tcPr>
            <w:tcW w:type="dxa" w:w="1872"/>
          </w:tcPr>
          <w:p>
            <w:r>
              <w:t>2</w:t>
            </w:r>
          </w:p>
        </w:tc>
        <w:tc>
          <w:tcPr>
            <w:tcW w:type="dxa" w:w="1872"/>
          </w:tcPr>
          <w:p>
            <w:r>
              <w:t>6.69%</w:t>
            </w:r>
          </w:p>
        </w:tc>
        <w:tc>
          <w:tcPr>
            <w:tcW w:type="dxa" w:w="1872"/>
          </w:tcPr>
          <w:p>
            <w:r>
              <w:t>n/a</w:t>
            </w:r>
          </w:p>
        </w:tc>
        <w:tc>
          <w:tcPr>
            <w:tcW w:type="dxa" w:w="1872"/>
          </w:tcPr>
          <w:p>
            <w:r>
              <w:t>49.24%</w:t>
            </w:r>
          </w:p>
        </w:tc>
      </w:tr>
      <w:tr>
        <w:tc>
          <w:tcPr>
            <w:tcW w:type="dxa" w:w="1872"/>
          </w:tcPr>
          <w:p>
            <w:r>
              <w:t>2025</w:t>
            </w:r>
          </w:p>
        </w:tc>
        <w:tc>
          <w:tcPr>
            <w:tcW w:type="dxa" w:w="1872"/>
          </w:tcPr>
          <w:p>
            <w:r>
              <w:t>3</w:t>
            </w:r>
          </w:p>
        </w:tc>
        <w:tc>
          <w:tcPr>
            <w:tcW w:type="dxa" w:w="1872"/>
          </w:tcPr>
          <w:p>
            <w:r>
              <w:t>55.68%</w:t>
            </w:r>
          </w:p>
        </w:tc>
        <w:tc>
          <w:tcPr>
            <w:tcW w:type="dxa" w:w="1872"/>
          </w:tcPr>
          <w:p>
            <w:r>
              <w:t>-47.96%</w:t>
            </w:r>
          </w:p>
        </w:tc>
        <w:tc>
          <w:tcPr>
            <w:tcW w:type="dxa" w:w="1872"/>
          </w:tcPr>
          <w:p>
            <w:r>
              <w:t>69.91%</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3 wrapper types (interval fund (Rule 23c-3), listed BDC, listed closed-end fund)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7/12</w:t>
            </w:r>
          </w:p>
        </w:tc>
        <w:tc>
          <w:tcPr>
            <w:tcW w:type="dxa" w:w="5472"/>
          </w:tcPr>
          <w:p>
            <w:r>
              <w:t>rejected: strategy gate (score 7/12 but strategy_match 1/3) Criteria: strategy_match 1/3: adjacent asset class sharing the dominant risk (listed private equity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7/12</w:t>
            </w:r>
          </w:p>
        </w:tc>
        <w:tc>
          <w:tcPr>
            <w:tcW w:type="dxa" w:w="5472"/>
          </w:tcPr>
          <w:p>
            <w:r>
              <w:t>rejected: strategy gate (score 7/12 but strategy_match 1/3) Criteria: strategy_match 1/3: adjacent asset class sharing the dominant risk (US large cap for venture and growth in an interval fund),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gating, suspension or postponement is disclosed, but the tendered-versus-accepted amounts are not printed: the Sep-2024 offer was fully utilized at its cap with proration, if any, not stated (R2-P1-12 rule)). The verdict stays partial until they are typed from the filings.</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gating, suspension or postponement is disclosed, but the tendered-versus-accepted amounts are not printed: the Sep-2024 offer was fully utilized at its cap with proration, if any, not stated (R2-P1-12 rule)</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(pre-IPO and venture cohort): mgmt fee: above the cohort median of 2.5 (n=3, too small for percentile language) | expense ratio (bases differ, see notes): below the cohort median of 4.53 (n=3, too small for percentile language) | repurchase cap: only member with this fact (n=1). Statistics and per-member values are in the cohort artifact, membership rationales in the typed 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Benchmark: escalated.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w:t>
      </w:r>
    </w:p>
    <w:p>
      <w:r>
        <w:t>Flags raised by the record (each restates a typed value or verdict already in the artifacts, with its source):</w:t>
      </w:r>
    </w:p>
    <w:p>
      <w:pPr>
        <w:pStyle w:val="ListBullet"/>
      </w:pPr>
      <w:r>
        <w:t>Benchmark: NO MEANINGFUL BENCHMARK CONSTRUCTIBLE from the candidates scored for this pre-IPO and venture fund: no candidate passes the strategy gate at or above 7/12. Scored: PSP 7/12 (fails the strategy gate (1/3)), URTH 7/12 (fails the strategy gate (1/3)), SPY 7/12 (fails the strategy gate (1/3)). Required next: a published pre-IPO and venture strategy index with a series the record can hold. (benchmark selection)</w:t>
      </w:r>
    </w:p>
    <w:p>
      <w:pPr>
        <w:pStyle w:val="ListBullet"/>
      </w:pPr>
      <w:r>
        <w:t>Peer comparison: composite refused, fewer than 3 peers remain after leaving ARK Venture Fund out (2: Destiny Tech100 Inc, Neostellar Capital Corp.)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14, partial 2, fetched 1, n/a 11, pending 0. 44 of 44 resolvable, 0 verified, 11 n/a by wrapper.</w:t>
      </w:r>
    </w:p>
    <w:p>
      <w:r>
        <w:t>Of the 43 evidenced cells, 43 carry a source document, 43 a section, 29 a verbatim quote (computed cells carry their computation and inputs instead of a quote) and 43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1.3</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1.4</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1.6</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1.12</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2.1</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r>
        <w:tc>
          <w:tcPr>
            <w:tcW w:type="dxa" w:w="720"/>
          </w:tcPr>
          <w:p>
            <w:r>
              <w:t>2.2</w:t>
            </w:r>
          </w:p>
        </w:tc>
        <w:tc>
          <w:tcPr>
            <w:tcW w:type="dxa" w:w="3456"/>
          </w:tcPr>
          <w:p>
            <w:r>
              <w:t>N-CSR FY2025 (filed 2025-10-08), Note 3 + full-text search of all on-disk arkvx filings (searched 2026-08-15), CIK 1905088</w:t>
            </w:r>
          </w:p>
        </w:tc>
        <w:tc>
          <w:tcPr>
            <w:tcW w:type="dxa" w:w="5184"/>
          </w:tcPr>
          <w:p>
            <w:r>
              <w:t>N-CSR 2025-10-08 accession 0001213900-25-097285 https://www.sec.gov/Archives/edgar/data/1905088/000121390025097285/ea0254858-01_ncsr.htm</w:t>
            </w:r>
          </w:p>
          <w:p>
            <w:r>
              <w:t>*, cited as all filings held for the product, 11 held:</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2025-10-08 accession 0001213900-25-097285 https://www.sec.gov/Archives/edgar/data/1905088/000121390025097285/ea0254858-01_ncsr.htm</w:t>
            </w:r>
          </w:p>
          <w:p>
            <w:r>
              <w:t>2025-10-27 accession 0001213900-25-102648 https://www.sec.gov/Archives/edgar/data/1905088/000121390025102648/ea0260971-01_486bpos.htm</w:t>
            </w:r>
          </w:p>
          <w:p>
            <w:r>
              <w:t>2025-12-02 accession 0001213900-25-116961 https://www.sec.gov/Archives/edgar/data/1905088/000121390025116961/ea0266731-01_n23c3a.htm</w:t>
            </w:r>
          </w:p>
          <w:p>
            <w:r>
              <w:t>2026-01-23 accession 0001213900-26-007261 https://www.sec.gov/Archives/edgar/data/1905088/000121390026007261/ea0273949-01_424b3.htm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2.3</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2.4</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2.6</w:t>
            </w:r>
          </w:p>
        </w:tc>
        <w:tc>
          <w:tcPr>
            <w:tcW w:type="dxa" w:w="3456"/>
          </w:tcPr>
          <w:p>
            <w:r>
              <w:t>N-CSR FY2025 (filed 2025-10-08), Note 3 + 486BPOS (filed 2025-10-27) + 424B3 supplement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2.7</w:t>
            </w:r>
          </w:p>
        </w:tc>
        <w:tc>
          <w:tcPr>
            <w:tcW w:type="dxa" w:w="3456"/>
          </w:tcPr>
          <w:p>
            <w:r>
              <w:t>424B3 supplement (filed 2026-01-23) + full-text search of N-CSR FY2025 and 486BPOS, CIK 1905088</w:t>
            </w:r>
          </w:p>
        </w:tc>
        <w:tc>
          <w:tcPr>
            <w:tcW w:type="dxa" w:w="5184"/>
          </w:tcPr>
          <w:p>
            <w:r>
              <w:t>424B3 2026-01-23 accession 0001213900-26-007261 https://www.sec.gov/Archives/edgar/data/1905088/000121390026007261/ea0273949-01_424b3.htm</w:t>
            </w:r>
          </w:p>
          <w:p>
            <w:r>
              <w:t>N-CSR 2025-10-08 accession 0001213900-25-097285 https://www.sec.gov/Archives/edgar/data/1905088/000121390025097285/ea0254858-01_ncsr.htm (matched by form only: the single such filing held)</w:t>
            </w:r>
          </w:p>
          <w:p>
            <w:r>
              <w:t>486BPOS 2025-10-27 accession 0001213900-25-102648 https://www.sec.gov/Archives/edgar/data/1905088/000121390025102648/ea0260971-01_486bpos.htm (matched by form only: the single such filing held)</w:t>
            </w:r>
          </w:p>
        </w:tc>
      </w:tr>
      <w:tr>
        <w:tc>
          <w:tcPr>
            <w:tcW w:type="dxa" w:w="720"/>
          </w:tcPr>
          <w:p>
            <w:r>
              <w:t>2.9</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3.1</w:t>
            </w:r>
          </w:p>
        </w:tc>
        <w:tc>
          <w:tcPr>
            <w:tcW w:type="dxa" w:w="3456"/>
          </w:tcPr>
          <w:p>
            <w:r>
              <w:t>486BPOS prospectus dated 2025-10-28 (filed 2025-10-27) + N-CSR FY2025 Note 7,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3.2</w:t>
            </w:r>
          </w:p>
        </w:tc>
        <w:tc>
          <w:tcPr>
            <w:tcW w:type="dxa" w:w="3456"/>
          </w:tcPr>
          <w:p>
            <w:r>
              <w:t>N-CSR FY2025 (filed 2025-10-08), Note 7 + 486BPOS prospectus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3.3</w:t>
            </w:r>
          </w:p>
        </w:tc>
        <w:tc>
          <w:tcPr>
            <w:tcW w:type="dxa" w:w="3456"/>
          </w:tcPr>
          <w:p>
            <w:r>
              <w:t>N-CSR FY2025 (filed 2025-10-08), Note 7 results table + N-23C3A notices 2024-09-06 through 2026-05-28, CIK 1905088</w:t>
            </w:r>
          </w:p>
        </w:tc>
        <w:tc>
          <w:tcPr>
            <w:tcW w:type="dxa" w:w="5184"/>
          </w:tcPr>
          <w:p>
            <w:r>
              <w:t>N-CSR 2025-10-08 accession 0001213900-25-097285 https://www.sec.gov/Archives/edgar/data/1905088/000121390025097285/ea0254858-01_ncsr.htm</w:t>
            </w:r>
          </w:p>
          <w:p>
            <w:r>
              <w:t>N-23C3A, 8 N-23C3A filings held between 2024-09-06 and 2026-05-28:</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2025-12-02 accession 0001213900-25-116961 https://www.sec.gov/Archives/edgar/data/1905088/000121390025116961/ea0266731-01_n23c3a.htm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3.4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3.6</w:t>
            </w:r>
          </w:p>
        </w:tc>
        <w:tc>
          <w:tcPr>
            <w:tcW w:type="dxa" w:w="3456"/>
          </w:tcPr>
          <w:p>
            <w:r>
              <w:t>N-CSR FY2025 (filed 2025-10-08), Note 3 Line of Credit + 486BPOS Summary of Terms - Leverage,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(ARK Venture Fund, four reference plans)</w:t>
            </w:r>
          </w:p>
        </w:tc>
        <w:tc>
          <w:tcPr>
            <w:tcW w:type="dxa" w:w="5184"/>
          </w:tcPr>
          <w:p>
            <w:r>
              <w:t>accession not on record: no filing reference in the source field</w:t>
            </w:r>
          </w:p>
        </w:tc>
      </w:tr>
      <w:tr>
        <w:tc>
          <w:tcPr>
            <w:tcW w:type="dxa" w:w="720"/>
          </w:tcPr>
          <w:p>
            <w:r>
              <w:t>4.1</w:t>
            </w:r>
          </w:p>
        </w:tc>
        <w:tc>
          <w:tcPr>
            <w:tcW w:type="dxa" w:w="3456"/>
          </w:tcPr>
          <w:p>
            <w:r>
              <w:t>486BPOS prospectus dated 2025-10-28 (filed 2025-10-27) + N-CSR FY2025 Note 2,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4.2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4.3</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4.4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4.5</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4.6</w:t>
            </w:r>
          </w:p>
        </w:tc>
        <w:tc>
          <w:tcPr>
            <w:tcW w:type="dxa" w:w="3456"/>
          </w:tcPr>
          <w:p>
            <w:r>
              <w:t>Full-text search of all on-disk arkvx filings (2026-08-15) + N-CSR FY2025 MDFP, CIK 1905088</w:t>
            </w:r>
          </w:p>
        </w:tc>
        <w:tc>
          <w:tcPr>
            <w:tcW w:type="dxa" w:w="5184"/>
          </w:tcPr>
          <w:p>
            <w:r>
              <w:t>N-CSR 2025-10-08 accession 0001213900-25-097285 https://www.sec.gov/Archives/edgar/data/1905088/000121390025097285/ea0254858-01_ncsr.htm (matched by form only: the single such filing held)</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5.3</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5.4</w:t>
            </w:r>
          </w:p>
        </w:tc>
        <w:tc>
          <w:tcPr>
            <w:tcW w:type="dxa" w:w="3456"/>
          </w:tcPr>
          <w:p>
            <w:r>
              <w:t>cohort artifact (pre-IPO and venture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(ARK Venture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2025-10-08), Notes 1-4 + 486BPOS (filed 2025-10-27) + 424B3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6.2</w:t>
            </w:r>
          </w:p>
        </w:tc>
        <w:tc>
          <w:tcPr>
            <w:tcW w:type="dxa" w:w="3456"/>
          </w:tcPr>
          <w:p>
            <w:r>
              <w:t>486BPOS prospectus dated 2025-10-28 (filed 2025-10-27) + N-CSR FY2025,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6.3</w:t>
            </w:r>
          </w:p>
        </w:tc>
        <w:tc>
          <w:tcPr>
            <w:tcW w:type="dxa" w:w="3456"/>
          </w:tcPr>
          <w:p>
            <w:r>
              <w:t>N-CSR FY2025 (filed 2025-10-08), Note 4 + 486BPOS SAI Conflicts of Interest,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6.4</w:t>
            </w:r>
          </w:p>
        </w:tc>
        <w:tc>
          <w:tcPr>
            <w:tcW w:type="dxa" w:w="3456"/>
          </w:tcPr>
          <w:p>
            <w:r>
              <w:t>486BPOS prospectus dated 2025-10-28 (filed 2025-10-27) + N-CSR FY2025 Note 6,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6.5</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bl>
    <w:p>
      <w:r>
        <w:t>Data sources: SEC EDGAR filings (11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