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Blackstone Private Credit Fund (non-traded BDC ('34 Act reporting; continuous offering), CIK 1803498)</w:t>
        <w:br/>
      </w:r>
      <w:r>
        <w:t>Record as of 2026-09-04. DRAFT, generated by the build from the record. The decision memo for the same plan and product is a separate document.</w:t>
      </w:r>
    </w:p>
    <w:p>
      <w:pPr>
        <w:pStyle w:val="Heading1"/>
      </w:pPr>
      <w:r>
        <w:t>Summary</w:t>
      </w:r>
    </w:p>
    <w:p>
      <w:r>
        <w:t>Structural liquidity verdict: CONDITIONAL-WEAK (typed facts, plan-independent). Scenario verdict under this plan (ILLUSTRATIVE, default sliders): CONDITIONAL.</w:t>
      </w:r>
    </w:p>
    <w:p>
      <w:r>
        <w:t>Meaningful benchmark (paragraph (k)): Cliffwater Direct Lending Index (CDLI) at 9/12, no comparison computed (cited, series not in the record: no comparison computed).</w:t>
      </w:r>
    </w:p>
    <w:p>
      <w:r>
        <w:t>Reference comparison, not the meaningful benchmark: Senior loan investable proxy (BKLN, for Morningstar LSTA class), KS-PME 1.2378, Direct Alpha 4.38%/yr over 2021-01-07 to 2025-12-31.</w:t>
      </w:r>
    </w:p>
    <w:p>
      <w:r>
        <w:t>Peer comparison (paragraphs (g) and (h)): relative wealth ratio 1.0986, annualized excess return 1.9%/yr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Liquidity: gating precedent, repurchases prorated under stress (cell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1.2378, Direct Alpha 4.38%/yr, 2021-01-07 to 2025-12-31</w:t>
            </w:r>
          </w:p>
        </w:tc>
      </w:tr>
      <w:tr>
        <w:tc>
          <w:tcPr>
            <w:tcW w:type="dxa" w:w="1152"/>
          </w:tcPr>
          <w:p>
            <w:r>
              <w:t>Peer comparison (paragraphs (g) and (h))</w:t>
            </w:r>
          </w:p>
        </w:tc>
        <w:tc>
          <w:tcPr>
            <w:tcW w:type="dxa" w:w="3456"/>
          </w:tcPr>
          <w:p>
            <w:r>
              <w:t>Peer composite, private credit cohort without Blackstone Private Credit Fund</w:t>
            </w:r>
          </w:p>
        </w:tc>
        <w:tc>
          <w:tcPr>
            <w:tcW w:type="dxa" w:w="864"/>
          </w:tcPr>
          <w:p>
            <w:r>
              <w:t>not scored</w:t>
            </w:r>
          </w:p>
        </w:tc>
        <w:tc>
          <w:tcPr>
            <w:tcW w:type="dxa" w:w="3888"/>
          </w:tcPr>
          <w:p>
            <w:r>
              <w:t>relative wealth ratio 1.0986, annualized excess return 1.9%/yr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ranked below the selected candidate: 8/12 vs 9/12 for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quarterly with a 5% cap per quarter on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 but this issuer HAS prorated under stress (3.3).</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7.00% expense ratio,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0.02%</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26, verified 0, computed 11, partial 4,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