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Blackstone Real Estate Income Trust Inc (non-traded REIT ('34 Act reporting), CIK 1662972)</w:t>
        <w:br/>
      </w:r>
      <w:r>
        <w:t>Record as of 2026-09-04. DRAFT, generated by the build from the record. The decision memo for the same plan and product is a separate document.</w:t>
      </w:r>
    </w:p>
    <w:p>
      <w:pPr>
        <w:pStyle w:val="Heading1"/>
      </w:pPr>
      <w:r>
        <w:t>Summary</w:t>
      </w:r>
    </w:p>
    <w:p>
      <w:r>
        <w:t>Structural liquidity verdict: CONDITIONAL-WEAK (typed facts, plan-independent). Scenario verdict under this plan (ILLUSTRATIVE, default sliders): CONDITIONAL.</w:t>
      </w:r>
    </w:p>
    <w:p>
      <w:r>
        <w:t>Meaningful benchmark (paragraph (k)): NCREIF Fund Index - ODCE (private core RE) at 9/12, no comparison computed (cited, series not in the record: no comparison computed).</w:t>
      </w:r>
    </w:p>
    <w:p>
      <w:r>
        <w:t>Reference comparison, not the meaningful benchmark: Listed REIT investable proxy (VNQ), KS-PME 0.9064, Direct Alpha -3.22%/yr over 2022-12-31 to 2025-12-31.</w:t>
      </w:r>
    </w:p>
    <w:p>
      <w:r>
        <w:t>Peer comparison (paragraphs (g) and (h)): composite refused, fewer than 3 peers remain after leaving Blackstone Real Estate Income Trust Inc out (2: Starwood Real Estate Income Trust, Inc., JLL Income Property Trust, Inc.).</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fewer than 3 peers remain after leaving Blackstone Real Estate Income Trust Inc out (2: Starwood Real Estate Income Trust, Inc., JLL Income Property Trust, Inc.) (cell 1.12)</w:t>
      </w:r>
    </w:p>
    <w:p>
      <w:pPr>
        <w:pStyle w:val="ListBullet"/>
      </w:pPr>
      <w:r>
        <w:t>Liquidity: gating precedent, repurchases prorated under stress (cell 3.3)</w:t>
      </w:r>
    </w:p>
    <w:p>
      <w:r>
        <w:t>Evidence coverage: 43 of 43 resolvable, 0 verified, 12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NCREIF Fund Index - ODCE (private core RE)</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REIT investable proxy (VNQ)</w:t>
            </w:r>
          </w:p>
        </w:tc>
        <w:tc>
          <w:tcPr>
            <w:tcW w:type="dxa" w:w="864"/>
          </w:tcPr>
          <w:p>
            <w:r>
              <w:t>8/12</w:t>
            </w:r>
          </w:p>
        </w:tc>
        <w:tc>
          <w:tcPr>
            <w:tcW w:type="dxa" w:w="3888"/>
          </w:tcPr>
          <w:p>
            <w:r>
              <w:t>KS-PME 0.9064, Direct Alpha -3.22%/yr, 2022-12-31 to 2025-12-31</w:t>
            </w:r>
          </w:p>
        </w:tc>
      </w:tr>
      <w:tr>
        <w:tc>
          <w:tcPr>
            <w:tcW w:type="dxa" w:w="1152"/>
          </w:tcPr>
          <w:p>
            <w:r>
              <w:t>Peer comparison (paragraphs (g) and (h))</w:t>
            </w:r>
          </w:p>
        </w:tc>
        <w:tc>
          <w:tcPr>
            <w:tcW w:type="dxa" w:w="3456"/>
          </w:tcPr>
          <w:p>
            <w:r>
              <w:t>Peer composite, non-traded real estate cohort without Blackstone Real Estate Income Trust Inc</w:t>
            </w:r>
          </w:p>
        </w:tc>
        <w:tc>
          <w:tcPr>
            <w:tcW w:type="dxa" w:w="864"/>
          </w:tcPr>
          <w:p>
            <w:r>
              <w:t>not scored</w:t>
            </w:r>
          </w:p>
        </w:tc>
        <w:tc>
          <w:tcPr>
            <w:tcW w:type="dxa" w:w="3888"/>
          </w:tcPr>
          <w:p>
            <w:r>
              <w:t>composite refused: fewer than 3 peers remain after leaving Blackstone Real Estate Income Trust Inc out (2: Starwood Real Estate Income Trust, Inc., JLL Income Property Trust, Inc.)</w:t>
            </w:r>
          </w:p>
        </w:tc>
      </w:tr>
      <w:tr>
        <w:tc>
          <w:tcPr>
            <w:tcW w:type="dxa" w:w="1152"/>
          </w:tcPr>
          <w:p>
            <w:r>
              <w:t>rejected</w:t>
            </w:r>
          </w:p>
        </w:tc>
        <w:tc>
          <w:tcPr>
            <w:tcW w:type="dxa" w:w="3456"/>
          </w:tcPr>
          <w:p>
            <w:r>
              <w:t>Listed REIT investable proxy (VNQ)</w:t>
            </w:r>
          </w:p>
        </w:tc>
        <w:tc>
          <w:tcPr>
            <w:tcW w:type="dxa" w:w="864"/>
          </w:tcPr>
          <w:p>
            <w:r>
              <w:t>8/12</w:t>
            </w:r>
          </w:p>
        </w:tc>
        <w:tc>
          <w:tcPr>
            <w:tcW w:type="dxa" w:w="3888"/>
          </w:tcPr>
          <w:p>
            <w:r>
              <w:t>ranked below the selected candidate: 8/12 vs 9/12 for NFI-ODCE</w:t>
            </w:r>
          </w:p>
        </w:tc>
      </w:tr>
    </w:tbl>
    <w:p>
      <w:pPr>
        <w:pStyle w:val="Heading1"/>
      </w:pPr>
      <w:r>
        <w:t>Exhibit B. Liquidity match for this plan</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CONDITIONAL-WEAK</w:t>
      </w:r>
    </w:p>
    <w:p>
      <w:pPr>
        <w:pStyle w:val="ListBullet"/>
      </w:pPr>
      <w:r>
        <w:t>STRUCTURAL GAP: a participant-directed 404(c) menu assumes daily pricing and daily participant liquidity, whereas this wrapper deals monthly with caps of 2% per month and 5% per quarter on aggregate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monthly repurchases, 2% cap per month and 5% cap per quarter on aggregate NAV</w:t>
            </w:r>
          </w:p>
        </w:tc>
        <w:tc>
          <w:tcPr>
            <w:tcW w:type="dxa" w:w="1152"/>
          </w:tcPr>
          <w:p>
            <w:r>
              <w:t>3.1</w:t>
            </w:r>
          </w:p>
        </w:tc>
      </w:tr>
      <w:tr>
        <w:tc>
          <w:tcPr>
            <w:tcW w:type="dxa" w:w="2448"/>
          </w:tcPr>
          <w:p>
            <w:r>
              <w:t>Repurchase caps</w:t>
            </w:r>
          </w:p>
        </w:tc>
        <w:tc>
          <w:tcPr>
            <w:tcW w:type="dxa" w:w="5760"/>
          </w:tcPr>
          <w:p>
            <w:r>
              <w:t>2% per month and 5% per quarter, binding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NAV printed in the MD&amp;A NAV-by-class table but not yet carried into a typed cell. Verification-queue item</w:t>
            </w:r>
          </w:p>
        </w:tc>
        <w:tc>
          <w:tcPr>
            <w:tcW w:type="dxa" w:w="1152"/>
          </w:tcPr>
          <w:p>
            <w:r>
              <w:t>1.1</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 but this issuer HAS prorated under stress (3.3).</w:t>
      </w:r>
    </w:p>
    <w:p>
      <w:r>
        <w:t>Fund capacity in dollars: not computable, the fund's net assets are not typed in the record (aggregate NAV printed in the MD&amp;A NAV-by-class table but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no typed fact for this cell</w:t>
            </w:r>
          </w:p>
        </w:tc>
        <w:tc>
          <w:tcPr>
            <w:tcW w:type="dxa" w:w="2880"/>
          </w:tcPr>
          <w:p>
            <w:r>
              <w:t>partial</w:t>
            </w:r>
          </w:p>
        </w:tc>
      </w:tr>
      <w:tr>
        <w:tc>
          <w:tcPr>
            <w:tcW w:type="dxa" w:w="2880"/>
          </w:tcPr>
          <w:p>
            <w:r>
              <w:t>2.3 Total expense ratio &amp; waivers</w:t>
            </w:r>
          </w:p>
        </w:tc>
        <w:tc>
          <w:tcPr>
            <w:tcW w:type="dxa" w:w="3600"/>
          </w:tcPr>
          <w:p>
            <w:r>
              <w:t>not applicable, the record states why</w:t>
            </w:r>
          </w:p>
        </w:tc>
        <w:tc>
          <w:tcPr>
            <w:tcW w:type="dxa" w:w="2880"/>
          </w:tcPr>
          <w:p>
            <w:r>
              <w:t>n/a - not publicly available: no TER disclosure exists for a '34-Act REIT (10-K prints no expense ratio - zero hits in FY2025 10-K and Q2 2026 10-Q); fee burden components extracted in 2.1/2.2/2.6</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Non-traded NAV REITs (n=3). Non-traded monthly-NAV REIT with 2%/5% repurchase plan -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20, verified 0, computed 14, partial 8, fetched 1, n/a 12,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