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industrial manufacturer 401(k) plan (~$0.8B, OH)</w:t>
        <w:br/>
      </w:r>
      <w:r>
        <w:t>Product: Destiny Tech100 Inc (listed closed-end fund (NYSE: DXYZ), CIK 1843974)</w:t>
        <w:br/>
      </w:r>
      <w:r>
        <w:t>Record as of 2026-09-04. DRAFT, generated by the build from the record. The decision memo for the same plan and product is a separate document.</w:t>
      </w:r>
    </w:p>
    <w:p>
      <w:pPr>
        <w:pStyle w:val="Heading1"/>
      </w:pPr>
      <w:r>
        <w:t>Summary</w:t>
      </w:r>
    </w:p>
    <w:p>
      <w:r>
        <w:t>Structural liquidity verdict: ALIGNED-MECHANICAL (typed facts, plan-independent). Scenario verdict under this plan (ILLUSTRATIVE, default sliders): ALIGNED-MECHANICAL.</w:t>
      </w:r>
    </w:p>
    <w:p>
      <w:r>
        <w:t>Benchmark: escalated.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Peer comparison (paragraphs (g) and (h)): composite refused, fewer than 3 peers remain after leaving Destiny Tech100 Inc out (2: Neostellar Capital Corp., ARK Venture Fund).</w:t>
      </w:r>
    </w:p>
    <w:p>
      <w:r>
        <w:t>Flags raised by the record (each restates a typed value or verdict, with its source):</w:t>
      </w:r>
    </w:p>
    <w:p>
      <w:pPr>
        <w:pStyle w:val="ListBullet"/>
      </w:pPr>
      <w:r>
        <w:t>Benchmark: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 (benchmark selection)</w:t>
      </w:r>
    </w:p>
    <w:p>
      <w:pPr>
        <w:pStyle w:val="ListBullet"/>
      </w:pPr>
      <w:r>
        <w:t>Peer comparison: composite refused, fewer than 3 peers remain after leaving Destiny Tech100 Inc out (2: Neostellar Capital Corp., ARK Venture Fund) (cell 1.12)</w:t>
      </w:r>
    </w:p>
    <w:p>
      <w:r>
        <w:t>Evidence coverage: 42 of 42 resolvable, 0 verified, 13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No candidate is eligible on held data.</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declared benchmark</w:t>
            </w:r>
          </w:p>
        </w:tc>
        <w:tc>
          <w:tcPr>
            <w:tcW w:type="dxa" w:w="3456"/>
          </w:tcPr>
          <w:p>
            <w:r>
              <w:t>NASDAQ Composite Index</w:t>
            </w:r>
          </w:p>
        </w:tc>
        <w:tc>
          <w:tcPr>
            <w:tcW w:type="dxa" w:w="864"/>
          </w:tcPr>
          <w:p>
            <w:r/>
          </w:p>
        </w:tc>
        <w:tc>
          <w:tcPr>
            <w:tcW w:type="dxa" w:w="3888"/>
          </w:tcPr>
          <w:p>
            <w:r>
              <w:t>cited, not held, scored 5/12, fund price decoupled from NAV</w:t>
            </w:r>
          </w:p>
        </w:tc>
      </w:tr>
      <w:tr>
        <w:tc>
          <w:tcPr>
            <w:tcW w:type="dxa" w:w="1152"/>
          </w:tcPr>
          <w:p>
            <w:r>
              <w:t>Peer comparison (paragraphs (g) and (h))</w:t>
            </w:r>
          </w:p>
        </w:tc>
        <w:tc>
          <w:tcPr>
            <w:tcW w:type="dxa" w:w="3456"/>
          </w:tcPr>
          <w:p>
            <w:r>
              <w:t>Peer composite, pre-IPO and venture cohort without Destiny Tech100 Inc</w:t>
            </w:r>
          </w:p>
        </w:tc>
        <w:tc>
          <w:tcPr>
            <w:tcW w:type="dxa" w:w="864"/>
          </w:tcPr>
          <w:p>
            <w:r>
              <w:t>not scored</w:t>
            </w:r>
          </w:p>
        </w:tc>
        <w:tc>
          <w:tcPr>
            <w:tcW w:type="dxa" w:w="3888"/>
          </w:tcPr>
          <w:p>
            <w:r>
              <w:t>composite refused: fewer than 3 peers remain after leaving Destiny Tech100 Inc out (2: Neostellar Capital Corp., ARK Venture Fund)</w:t>
            </w:r>
          </w:p>
        </w:tc>
      </w:tr>
      <w:tr>
        <w:tc>
          <w:tcPr>
            <w:tcW w:type="dxa" w:w="1152"/>
          </w:tcPr>
          <w:p>
            <w:r>
              <w:t>rejected</w:t>
            </w:r>
          </w:p>
        </w:tc>
        <w:tc>
          <w:tcPr>
            <w:tcW w:type="dxa" w:w="3456"/>
          </w:tcPr>
          <w:p>
            <w:r>
              <w:t>Listed private equity investable proxy (PSP)</w:t>
            </w:r>
          </w:p>
        </w:tc>
        <w:tc>
          <w:tcPr>
            <w:tcW w:type="dxa" w:w="864"/>
          </w:tcPr>
          <w:p>
            <w:r>
              <w:t>7/12</w:t>
            </w:r>
          </w:p>
        </w:tc>
        <w:tc>
          <w:tcPr>
            <w:tcW w:type="dxa" w:w="3888"/>
          </w:tcPr>
          <w:p>
            <w:r>
              <w:t>fund price is premium/discount-driven and decoupled from NAV. Benchmarking the price benchmarks the premium, not the portfolio</w:t>
            </w:r>
          </w:p>
        </w:tc>
      </w:tr>
      <w:tr>
        <w:tc>
          <w:tcPr>
            <w:tcW w:type="dxa" w:w="1152"/>
          </w:tcPr>
          <w:p>
            <w:r>
              <w:t>rejected</w:t>
            </w:r>
          </w:p>
        </w:tc>
        <w:tc>
          <w:tcPr>
            <w:tcW w:type="dxa" w:w="3456"/>
          </w:tcPr>
          <w:p>
            <w:r>
              <w:t>S&amp;P 500 investable proxy (SPY)</w:t>
            </w:r>
          </w:p>
        </w:tc>
        <w:tc>
          <w:tcPr>
            <w:tcW w:type="dxa" w:w="864"/>
          </w:tcPr>
          <w:p>
            <w:r>
              <w:t>7/12</w:t>
            </w:r>
          </w:p>
        </w:tc>
        <w:tc>
          <w:tcPr>
            <w:tcW w:type="dxa" w:w="3888"/>
          </w:tcPr>
          <w:p>
            <w:r>
              <w:t>fund price is premium/discount-driven and decoupled from NAV. Benchmarking the price benchmarks the premium, not the portfolio</w:t>
            </w:r>
          </w:p>
        </w:tc>
      </w:tr>
      <w:tr>
        <w:tc>
          <w:tcPr>
            <w:tcW w:type="dxa" w:w="1152"/>
          </w:tcPr>
          <w:p>
            <w:r>
              <w:t>rejected</w:t>
            </w:r>
          </w:p>
        </w:tc>
        <w:tc>
          <w:tcPr>
            <w:tcW w:type="dxa" w:w="3456"/>
          </w:tcPr>
          <w:p>
            <w:r>
              <w:t>NASDAQ Composite Index</w:t>
            </w:r>
          </w:p>
        </w:tc>
        <w:tc>
          <w:tcPr>
            <w:tcW w:type="dxa" w:w="864"/>
          </w:tcPr>
          <w:p>
            <w:r>
              <w:t>5/12</w:t>
            </w:r>
          </w:p>
        </w:tc>
        <w:tc>
          <w:tcPr>
            <w:tcW w:type="dxa" w:w="3888"/>
          </w:tcPr>
          <w:p>
            <w:r>
              <w:t>fund price is premium/discount-driven and decoupled from NAV. Benchmarking the price benchmarks the premium, not the portfolio</w:t>
            </w:r>
          </w:p>
        </w:tc>
      </w:tr>
    </w:tbl>
    <w:p>
      <w:pPr>
        <w:pStyle w:val="Heading1"/>
      </w:pPr>
      <w:r>
        <w:t>Exhibit B. Liquidity match for this plan</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ALIGNED-MECHANICAL</w:t>
      </w:r>
    </w:p>
    <w:p>
      <w:pPr>
        <w:pStyle w:val="ListBullet"/>
      </w:pPr>
      <w:r>
        <w:t>Daily exchange liquidity mechanically satisfies daily participant dealing (3.1).</w:t>
      </w:r>
    </w:p>
    <w:p>
      <w:pPr>
        <w:pStyle w:val="ListBullet"/>
      </w:pPr>
      <w:r>
        <w:t>BUT price-vs-NAV decoupling means participants transact at the premium or discount, not at portfolio value. The liquidity is real, the price basis is not (1.10, 4.7).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listed closed-end fund</w:t>
            </w:r>
          </w:p>
        </w:tc>
        <w:tc>
          <w:tcPr>
            <w:tcW w:type="dxa" w:w="1152"/>
          </w:tcPr>
          <w:p>
            <w:r>
              <w:t>6.1</w:t>
            </w:r>
          </w:p>
        </w:tc>
      </w:tr>
      <w:tr>
        <w:tc>
          <w:tcPr>
            <w:tcW w:type="dxa" w:w="2448"/>
          </w:tcPr>
          <w:p>
            <w:r>
              <w:t>Dealing terms</w:t>
            </w:r>
          </w:p>
        </w:tc>
        <w:tc>
          <w:tcPr>
            <w:tcW w:type="dxa" w:w="5760"/>
          </w:tcPr>
          <w:p>
            <w:r>
              <w:t>daily on-exchange dealing, no fund-level cap (3.1)</w:t>
            </w:r>
          </w:p>
        </w:tc>
        <w:tc>
          <w:tcPr>
            <w:tcW w:type="dxa" w:w="1152"/>
          </w:tcPr>
          <w:p>
            <w:r>
              <w:t>3.1</w:t>
            </w:r>
          </w:p>
        </w:tc>
      </w:tr>
      <w:tr>
        <w:tc>
          <w:tcPr>
            <w:tcW w:type="dxa" w:w="2448"/>
          </w:tcPr>
          <w:p>
            <w:r>
              <w:t>Repurchase caps</w:t>
            </w:r>
          </w:p>
        </w:tc>
        <w:tc>
          <w:tcPr>
            <w:tcW w:type="dxa" w:w="5760"/>
          </w:tcPr>
          <w:p>
            <w:r>
              <w:t>no fund-level cap, capacity is market depth</w:t>
            </w:r>
          </w:p>
        </w:tc>
        <w:tc>
          <w:tcPr>
            <w:tcW w:type="dxa" w:w="1152"/>
          </w:tcPr>
          <w:p>
            <w:r>
              <w:t>3.1</w:t>
            </w:r>
          </w:p>
        </w:tc>
      </w:tr>
      <w:tr>
        <w:tc>
          <w:tcPr>
            <w:tcW w:type="dxa" w:w="2448"/>
          </w:tcPr>
          <w:p>
            <w:r>
              <w:t>Annual capacity (binding cap)</w:t>
            </w:r>
          </w:p>
        </w:tc>
        <w:tc>
          <w:tcPr>
            <w:tcW w:type="dxa" w:w="5760"/>
          </w:tcPr>
          <w:p>
            <w:r>
              <w:t>not typed: on-exchange liquidity with no fund-level cap</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3.1</w:t>
            </w:r>
          </w:p>
        </w:tc>
      </w:tr>
      <w:tr>
        <w:tc>
          <w:tcPr>
            <w:tcW w:type="dxa" w:w="2448"/>
          </w:tcPr>
          <w:p>
            <w:r>
              <w:t>Repurchase program status</w:t>
            </w:r>
          </w:p>
        </w:tc>
        <w:tc>
          <w:tcPr>
            <w:tcW w:type="dxa" w:w="5760"/>
          </w:tcPr>
          <w:p>
            <w:r>
              <w:t>not typed: exchange-listed, no repurchase program</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r>
        <w:tc>
          <w:tcPr>
            <w:tcW w:type="dxa" w:w="2448"/>
          </w:tcPr>
          <w:p>
            <w:r>
              <w:t>Fund net assets (for the dollar capacity)</w:t>
            </w:r>
          </w:p>
        </w:tc>
        <w:tc>
          <w:tcPr>
            <w:tcW w:type="dxa" w:w="5760"/>
          </w:tcPr>
          <w:p>
            <w:r>
              <w:t>approx. $438.0M</w:t>
            </w:r>
          </w:p>
        </w:tc>
        <w:tc>
          <w:tcPr>
            <w:tcW w:type="dxa" w:w="1152"/>
          </w:tcPr>
          <w:p>
            <w:r>
              <w:t>2.3</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not applicable (exchange-traded).</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pPr>
        <w:pStyle w:val="ListBullet"/>
      </w:pPr>
      <w:r>
        <w:t>Filed outflow proxy (Schedule H, plan year 2024-01-01 to 2024-12-31): 11.5% of the position per year, the plan's total expenses less administrative expenses over beginning net assets, applied to the position. On an exchange this is a selling rate against market depth, not a claim on a fund cap.</w:t>
      </w:r>
    </w:p>
    <w:p>
      <w:pPr>
        <w:pStyle w:val="ListBullet"/>
      </w:pPr>
      <w:r>
        <w:t>Slider assumption (illustrative): 7.2% of the position per year, from tail turnover 20%/yr on the 14.9% of accounts that are separated and active turnover 5%/yr on the rest. Shown beside the filed rate, not blended with it, and likewise a selling rate against market depth.</w:t>
      </w:r>
    </w:p>
    <w:p>
      <w:r>
        <w:t>Cited: cell 3.1, cell 3.7, plan: plan_manufacturer_union.json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2.50% on gross assets incl. borrowings</w:t>
            </w:r>
          </w:p>
        </w:tc>
        <w:tc>
          <w:tcPr>
            <w:tcW w:type="dxa" w:w="2880"/>
          </w:tcPr>
          <w:p>
            <w:r>
              <w:t>extracted-unverified</w:t>
            </w:r>
          </w:p>
        </w:tc>
      </w:tr>
      <w:tr>
        <w:tc>
          <w:tcPr>
            <w:tcW w:type="dxa" w:w="2880"/>
          </w:tcPr>
          <w:p>
            <w:r>
              <w:t>2.2 Incentive fee terms</w:t>
            </w:r>
          </w:p>
        </w:tc>
        <w:tc>
          <w:tcPr>
            <w:tcW w:type="dxa" w:w="3600"/>
          </w:tcPr>
          <w:p>
            <w:r>
              <w:t>incentive fee: none</w:t>
            </w:r>
          </w:p>
        </w:tc>
        <w:tc>
          <w:tcPr>
            <w:tcW w:type="dxa" w:w="2880"/>
          </w:tcPr>
          <w:p>
            <w:r>
              <w:t>extracted-unverified</w:t>
            </w:r>
          </w:p>
        </w:tc>
      </w:tr>
      <w:tr>
        <w:tc>
          <w:tcPr>
            <w:tcW w:type="dxa" w:w="2880"/>
          </w:tcPr>
          <w:p>
            <w:r>
              <w:t>2.3 Total expense ratio &amp; waivers</w:t>
            </w:r>
          </w:p>
        </w:tc>
        <w:tc>
          <w:tcPr>
            <w:tcW w:type="dxa" w:w="3600"/>
          </w:tcPr>
          <w:p>
            <w:r>
              <w:t>4.53% expense ratio, of average net assets (FY2025)</w:t>
            </w:r>
          </w:p>
        </w:tc>
        <w:tc>
          <w:tcPr>
            <w:tcW w:type="dxa" w:w="2880"/>
          </w:tcPr>
          <w:p>
            <w:r>
              <w:t>extracted-unverified</w:t>
            </w:r>
          </w:p>
        </w:tc>
      </w:tr>
      <w:tr>
        <w:tc>
          <w:tcPr>
            <w:tcW w:type="dxa" w:w="2880"/>
          </w:tcPr>
          <w:p>
            <w:r>
              <w:t>2.4 AFFE</w:t>
            </w:r>
          </w:p>
        </w:tc>
        <w:tc>
          <w:tcPr>
            <w:tcW w:type="dxa" w:w="3600"/>
          </w:tcPr>
          <w:p>
            <w:r>
              <w:t>AFFE 0.03%</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not applicable, the record states why</w:t>
            </w:r>
          </w:p>
        </w:tc>
        <w:tc>
          <w:tcPr>
            <w:tcW w:type="dxa" w:w="2880"/>
          </w:tcPr>
          <w:p>
            <w:r>
              <w:t>n/a - no early-repurchase fee (exchange-traded)</w:t>
            </w:r>
          </w:p>
        </w:tc>
      </w:tr>
      <w:tr>
        <w:tc>
          <w:tcPr>
            <w:tcW w:type="dxa" w:w="2880"/>
          </w:tcPr>
          <w:p>
            <w:r>
              <w:t>6.4 Tax reporting (1099 vs K-1)</w:t>
            </w:r>
          </w:p>
        </w:tc>
        <w:tc>
          <w:tcPr>
            <w:tcW w:type="dxa" w:w="3600"/>
          </w:tcPr>
          <w:p>
            <w:r>
              <w:t>no typed fact for this cell</w:t>
            </w:r>
          </w:p>
        </w:tc>
        <w:tc>
          <w:tcPr>
            <w:tcW w:type="dxa" w:w="2880"/>
          </w:tcPr>
          <w:p>
            <w:r>
              <w:t>partial</w:t>
            </w:r>
          </w:p>
        </w:tc>
      </w:tr>
    </w:tbl>
    <w:p>
      <w:pPr>
        <w:pStyle w:val="Heading1"/>
      </w:pPr>
      <w:r>
        <w:t>Exhibit D. Peer cohort placement</w:t>
      </w:r>
    </w:p>
    <w:p>
      <w:r>
        <w:t>Cohort Pre-IPO / venture growth (listed CEF + listed BDC + interval fund) (n=3). Listed CEF holding pre-IPO tech, the premium-pricing fail case. The cohort exists to show premium vs NAV pricing as a PATTERN.</w:t>
      </w:r>
    </w:p>
    <w:p>
      <w:r>
        <w:t>Cohort placement (pre-IPO and venture cohort): mgmt fee: at the cohort median of 2.5 (n=3, too small for percentile language) | expense ratio (bases differ, see notes): at the cohort median of 4.53 (n=3, too small for percentile language) | repurchase cap: fact unavailable for this member. Statistics and per-member values are in the cohort artifact, membership rationales in the typed facts.</w:t>
      </w:r>
    </w:p>
    <w:p>
      <w:pPr>
        <w:pStyle w:val="ListBullet"/>
      </w:pPr>
      <w:r>
        <w:t>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NAV-CADENCE MIX: daily, monthly, and quarterly NAV processes embed different appraisal smoothing. Volatility and drawdown comparisons inherit that difference (see de-smoothing lab). [typed per product: arkvx: daily, dxyz: quarterly, ssss: quarterly]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w:t>
      </w:r>
    </w:p>
    <w:p>
      <w:pPr>
        <w:pStyle w:val="Heading1"/>
      </w:pPr>
      <w:r>
        <w:t>Provenance</w:t>
      </w:r>
    </w:p>
    <w:p>
      <w:r>
        <w:t>Cell status for this product: structured 0, extracted-unverified 24, verified 0, computed 14, partial 3, fetched 1, n/a 13,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