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(reference, not the benchmark).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S&amp;P 500 Index, held, scored 7/12, fails the strategy gate (strategy_match 1/3).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7/12, fails the strategy gate (strategy_match 1/3).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20.77%</w:t>
            </w:r>
          </w:p>
        </w:tc>
        <w:tc>
          <w:tcPr>
            <w:tcW w:type="dxa" w:w="1337"/>
          </w:tcPr>
          <w:p>
            <w:r>
              <w:t>29.43%</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16.1%</w:t>
            </w:r>
          </w:p>
        </w:tc>
        <w:tc>
          <w:tcPr>
            <w:tcW w:type="dxa" w:w="1337"/>
          </w:tcPr>
          <w:p>
            <w:r>
              <w:t>8.23%</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12.68%</w:t>
            </w:r>
          </w:p>
        </w:tc>
        <w:tc>
          <w:tcPr>
            <w:tcW w:type="dxa" w:w="1337"/>
          </w:tcPr>
          <w:p>
            <w:r>
              <w:t>13.79%</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12.59%</w:t>
            </w:r>
          </w:p>
        </w:tc>
        <w:tc>
          <w:tcPr>
            <w:tcW w:type="dxa" w:w="1337"/>
          </w:tcPr>
          <w:p>
            <w:r>
              <w:t>10.76%</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14.6%</w:t>
            </w:r>
          </w:p>
        </w:tc>
        <w:tc>
          <w:tcPr>
            <w:tcW w:type="dxa" w:w="1337"/>
          </w:tcPr>
          <w:p>
            <w:r>
              <w:t>10.47%</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7/12</w:t>
            </w:r>
          </w:p>
        </w:tc>
        <w:tc>
          <w:tcPr>
            <w:tcW w:type="dxa" w:w="5472"/>
          </w:tcPr>
          <w:p>
            <w:r>
              <w:t>rejected: strategy gate (score 7/12 but strategy_match 1/3) Criteria: strategy_match 1/3: adjacent asset class sharing the dominant risk (US large cap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$5.8B</w:t>
            </w:r>
          </w:p>
        </w:tc>
        <w:tc>
          <w:tcPr>
            <w:tcW w:type="dxa" w:w="1152"/>
          </w:tcPr>
          <w:p>
            <w:r>
              <w:t>3.4</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$1.2B per year (20% of $5.8B net assets, cell 3.4). The plan's demand at the filed rate is $4.6M per year, 0.39%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$5.8B net assets (cell 3.4)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3.4, cell 3.7, plan: plan_manufacturer_union.json (Form 5500, plan year 2024-01-01 to 2024-12-31).</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1.12</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