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JLL Income Property Trust, Inc. (non-traded REIT ('34 Act reporting, perpetual NAV REIT), CIK 1314152)</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Meaningful benchmark (paragraph (k)): NCREIF Fund Index - ODCE (private core RE) at 9/12, no comparison computed (no computable fund return series on record: no multi-year per-class return series is printed: the FY2025 10-K gives net total return only as a 3.0% to 3.8% range across classes and an 8-quarter NAV path without distributions (cells 1.1 and 1.2)).</w:t>
      </w:r>
    </w:p>
    <w:p>
      <w:r>
        <w:t>Peer comparison (paragraphs (g) and (h)): composite refused, fewer than 3 peers remain after leaving JLL Income Property Trust, Inc. out (2: Blackstone Real Estate Income Trust Inc, Starwood Real Estate Income Trust, Inc.).</w:t>
      </w:r>
    </w:p>
    <w:p>
      <w:r>
        <w:t>Flags raised by the record (each restates a typed value or verdict, with its source):</w:t>
      </w:r>
    </w:p>
    <w:p>
      <w:pPr>
        <w:pStyle w:val="ListBullet"/>
      </w:pPr>
      <w:r>
        <w:t>Benchmark: the meaningful benchmark carries no computed comparison (no computable fund return series on record: no multi-year per-class return series is printed: the FY2025 10-K gives net total return only as a 3.0% to 3.8% range across classes and an 8-quarter NAV path without distributions (cells 1.1 and 1.2)) (benchmark selection)</w:t>
      </w:r>
    </w:p>
    <w:p>
      <w:pPr>
        <w:pStyle w:val="ListBullet"/>
      </w:pPr>
      <w:r>
        <w:t>Peer comparison: composite refused, fewer than 3 peers remain after leaving JLL Income Property Trust, Inc. out (2: Blackstone Real Estate Income Trust Inc, Starwood Real Estate Income Trust, Inc.) (cell 1.12)</w:t>
      </w:r>
    </w:p>
    <w:p>
      <w:r>
        <w:t>Evidence coverage: 37 of 37 resolvable, 0 verified, 18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NCREIF Fund Index - ODCE (private core RE)</w:t>
            </w:r>
          </w:p>
        </w:tc>
        <w:tc>
          <w:tcPr>
            <w:tcW w:type="dxa" w:w="864"/>
          </w:tcPr>
          <w:p>
            <w:r>
              <w:t>9/12</w:t>
            </w:r>
          </w:p>
        </w:tc>
        <w:tc>
          <w:tcPr>
            <w:tcW w:type="dxa" w:w="3888"/>
          </w:tcPr>
          <w:p>
            <w:r>
              <w:t>selected, no comparison computed: no computable fund return series on record: no multi-year per-class return series is printed: the FY2025 10-K gives net total return only as a 3.0% to 3.8% range across classes and an 8-quarter NAV path without distributions (cells 1.1 and 1.2)</w:t>
            </w:r>
          </w:p>
        </w:tc>
      </w:tr>
      <w:tr>
        <w:tc>
          <w:tcPr>
            <w:tcW w:type="dxa" w:w="1152"/>
          </w:tcPr>
          <w:p>
            <w:r>
              <w:t>declared benchmark</w:t>
            </w:r>
          </w:p>
        </w:tc>
        <w:tc>
          <w:tcPr>
            <w:tcW w:type="dxa" w:w="3456"/>
          </w:tcPr>
          <w:p>
            <w:r>
              <w:t>NFI-ODCE</w:t>
            </w:r>
          </w:p>
        </w:tc>
        <w:tc>
          <w:tcPr>
            <w:tcW w:type="dxa" w:w="864"/>
          </w:tcPr>
          <w:p>
            <w:r/>
          </w:p>
        </w:tc>
        <w:tc>
          <w:tcPr>
            <w:tcW w:type="dxa" w:w="3888"/>
          </w:tcPr>
          <w:p>
            <w:r>
              <w:t>cited, not held, scored 9/12, selected for Slot K</w:t>
            </w:r>
          </w:p>
        </w:tc>
      </w:tr>
      <w:tr>
        <w:tc>
          <w:tcPr>
            <w:tcW w:type="dxa" w:w="1152"/>
          </w:tcPr>
          <w:p>
            <w:r>
              <w:t>SEC-required comparator</w:t>
            </w:r>
          </w:p>
        </w:tc>
        <w:tc>
          <w:tcPr>
            <w:tcW w:type="dxa" w:w="3456"/>
          </w:tcPr>
          <w:p>
            <w:r>
              <w:t>S&amp;P 500</w:t>
            </w:r>
          </w:p>
        </w:tc>
        <w:tc>
          <w:tcPr>
            <w:tcW w:type="dxa" w:w="864"/>
          </w:tcPr>
          <w:p>
            <w:r/>
          </w:p>
        </w:tc>
        <w:tc>
          <w:tcPr>
            <w:tcW w:type="dxa" w:w="3888"/>
          </w:tcPr>
          <w:p>
            <w:r>
              <w:t>held, scored 6/12, fails the strategy gate (strategy_match 0/3)</w:t>
            </w:r>
          </w:p>
        </w:tc>
      </w:tr>
      <w:tr>
        <w:tc>
          <w:tcPr>
            <w:tcW w:type="dxa" w:w="1152"/>
          </w:tcPr>
          <w:p>
            <w:r>
              <w:t>Peer comparison (paragraphs (g) and (h))</w:t>
            </w:r>
          </w:p>
        </w:tc>
        <w:tc>
          <w:tcPr>
            <w:tcW w:type="dxa" w:w="3456"/>
          </w:tcPr>
          <w:p>
            <w:r>
              <w:t>Peer composite, non-traded real estate cohort without JLL Income Property Trust, Inc.</w:t>
            </w:r>
          </w:p>
        </w:tc>
        <w:tc>
          <w:tcPr>
            <w:tcW w:type="dxa" w:w="864"/>
          </w:tcPr>
          <w:p>
            <w:r>
              <w:t>not scored</w:t>
            </w:r>
          </w:p>
        </w:tc>
        <w:tc>
          <w:tcPr>
            <w:tcW w:type="dxa" w:w="3888"/>
          </w:tcPr>
          <w:p>
            <w:r>
              <w:t>composite refused: fewer than 3 peers remain after leaving JLL Income Property Trust, Inc. out (2: Blackstone Real Estate Income Trust Inc, Starwood Real Estate Income Trust, Inc.)</w:t>
            </w:r>
          </w:p>
        </w:tc>
      </w:tr>
      <w:tr>
        <w:tc>
          <w:tcPr>
            <w:tcW w:type="dxa" w:w="1152"/>
          </w:tcPr>
          <w:p>
            <w:r>
              <w:t>rejected</w:t>
            </w:r>
          </w:p>
        </w:tc>
        <w:tc>
          <w:tcPr>
            <w:tcW w:type="dxa" w:w="3456"/>
          </w:tcPr>
          <w:p>
            <w:r>
              <w:t>Listed REIT investable proxy (VNQ)</w:t>
            </w:r>
          </w:p>
        </w:tc>
        <w:tc>
          <w:tcPr>
            <w:tcW w:type="dxa" w:w="864"/>
          </w:tcPr>
          <w:p>
            <w:r>
              <w:t>8/12</w:t>
            </w:r>
          </w:p>
        </w:tc>
        <w:tc>
          <w:tcPr>
            <w:tcW w:type="dxa" w:w="3888"/>
          </w:tcPr>
          <w:p>
            <w:r>
              <w:t>ranked below the selected candidate: 8/12 vs 9/12 for NFI-ODCE</w:t>
            </w:r>
          </w:p>
        </w:tc>
      </w:tr>
      <w:tr>
        <w:tc>
          <w:tcPr>
            <w:tcW w:type="dxa" w:w="1152"/>
          </w:tcPr>
          <w:p>
            <w:r>
              <w:t>rejected</w:t>
            </w:r>
          </w:p>
        </w:tc>
        <w:tc>
          <w:tcPr>
            <w:tcW w:type="dxa" w:w="3456"/>
          </w:tcPr>
          <w:p>
            <w:r>
              <w:t>S&amp;P 500 investable proxy (SPY)</w:t>
            </w:r>
          </w:p>
        </w:tc>
        <w:tc>
          <w:tcPr>
            <w:tcW w:type="dxa" w:w="864"/>
          </w:tcPr>
          <w:p>
            <w:r>
              <w:t>6/12</w:t>
            </w:r>
          </w:p>
        </w:tc>
        <w:tc>
          <w:tcPr>
            <w:tcW w:type="dxa" w:w="3888"/>
          </w:tcPr>
          <w:p>
            <w:r>
              <w:t>rejected: strategy gate (score 6/12 but strategy_match 0/3)</w:t>
            </w:r>
          </w:p>
        </w:tc>
      </w:tr>
    </w:tbl>
    <w:p>
      <w:pPr>
        <w:pStyle w:val="Heading1"/>
      </w:pPr>
      <w:r>
        <w:t>Exhibit B. Liquidity match for this plan</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daily but only within a 5% cap per quarter on NAV.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daily repurchase requests,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not typed: aggregate NAV not yet carried into a typed cell. Verification-queue item</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not computable, the fund's net assets are not typed in the record (aggregate NAV not yet carried into a typed cell. Verification-queue item), so the plan's dollar demand cannot be set against the fund's dollar capacity and the allocation slider is not shown.</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incentive fee: 10% / 7% hurdle</w:t>
            </w:r>
          </w:p>
        </w:tc>
        <w:tc>
          <w:tcPr>
            <w:tcW w:type="dxa" w:w="2880"/>
          </w:tcPr>
          <w:p>
            <w:r>
              <w:t>extracted-unverified</w:t>
            </w:r>
          </w:p>
        </w:tc>
      </w:tr>
      <w:tr>
        <w:tc>
          <w:tcPr>
            <w:tcW w:type="dxa" w:w="2880"/>
          </w:tcPr>
          <w:p>
            <w:r>
              <w:t>2.3 Total expense ratio &amp; waivers</w:t>
            </w:r>
          </w:p>
        </w:tc>
        <w:tc>
          <w:tcPr>
            <w:tcW w:type="dxa" w:w="3600"/>
          </w:tcPr>
          <w:p>
            <w:r>
              <w:t>no typed fact for this cell</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not applicable, the record states why</w:t>
            </w:r>
          </w:p>
        </w:tc>
        <w:tc>
          <w:tcPr>
            <w:tcW w:type="dxa" w:w="2880"/>
          </w:tcPr>
          <w:p>
            <w:r>
              <w:t>n/a - tax form not literally printed: zero hits for '1099' and 'K-1' across stripped 10-K, 10-Q and 424B3 (searched 2026-08-15)</w:t>
            </w:r>
          </w:p>
        </w:tc>
      </w:tr>
    </w:tbl>
    <w:p>
      <w:pPr>
        <w:pStyle w:val="Heading1"/>
      </w:pPr>
      <w:r>
        <w:t>Exhibit D. Peer cohort placement</w:t>
      </w:r>
    </w:p>
    <w:p>
      <w:r>
        <w:t>Cohort Non-traded NAV REITs (n=3).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24, verified 0, computed 7, partial 5, fetched 1, n/a 18,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