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Committee packet</w:t>
      </w:r>
    </w:p>
    <w:p>
      <w:r>
        <w:rPr>
          <w:b/>
        </w:rPr>
        <w:t>Plan: US industrial manufacturer 401(k) plan (~$0.8B, OH)</w:t>
        <w:br/>
      </w:r>
      <w:r>
        <w:t>Product: PIMCO Flexible Credit Income Fund (TRUE interval fund (Rule 23c-3), flexible credit, CIK 1688554)</w:t>
        <w:br/>
      </w:r>
      <w:r>
        <w:t>Record as of 2026-09-04. DRAFT, generated by the build from the record. The decision memo for the same plan and product is a separate document.</w:t>
      </w:r>
    </w:p>
    <w:p>
      <w:pPr>
        <w:pStyle w:val="Heading1"/>
      </w:pPr>
      <w:r>
        <w:t>Summary</w:t>
      </w:r>
    </w:p>
    <w:p>
      <w:r>
        <w:t>Structural liquidity verdict: CONDITIONAL (typed facts, plan-independent). Scenario verdict under this plan (ILLUSTRATIVE, default sliders): CONDITIONAL.</w:t>
      </w:r>
    </w:p>
    <w:p>
      <w:r>
        <w:t>Meaningful benchmark (paragraph (k)): Cliffwater Direct Lending Index (CDLI) at 8/12, no comparison computed (cited, series not in the record: no comparison computed).</w:t>
      </w:r>
    </w:p>
    <w:p>
      <w:r>
        <w:t>Reference comparison, not the meaningful benchmark: Senior loan investable proxy (BKLN, for Morningstar LSTA class), KS-PME 1.1089, Direct Alpha 1.3%/yr over 2018-07-18 to 2026-07-17.</w:t>
      </w:r>
    </w:p>
    <w:p>
      <w:r>
        <w:t>Peer comparison (paragraphs (g) and (h)): relative wealth ratio 0.8757, annualized excess return -2.62%/yr (not a public market equivalent) vs the peer composite over 2021 to 2025 (n=4), not a benchmark.</w:t>
      </w:r>
    </w:p>
    <w:p>
      <w:r>
        <w:t>Flags raised by the record (each restates a typed value or verdict, with its source):</w:t>
      </w:r>
    </w:p>
    <w:p>
      <w:pPr>
        <w:pStyle w:val="ListBullet"/>
      </w:pPr>
      <w:r>
        <w:t>Benchmark: the meaningful benchmark carries no computed comparison (cited, series not in the record: no comparison computed) (benchmark selection)</w:t>
      </w:r>
    </w:p>
    <w:p>
      <w:r>
        <w:t>Evidence coverage: 44 of 44 resolvable, 0 verified, 11 n/a by wrapper. Verified by a person: 0. Advisor-stated inputs for this plan: 0 of 6.</w:t>
      </w:r>
    </w:p>
    <w:p>
      <w:r>
        <w:t>The committee makes the decision on this record. This packet does not decide.</w:t>
      </w:r>
    </w:p>
    <w:p>
      <w:pPr>
        <w:pStyle w:val="Heading1"/>
      </w:pPr>
      <w:r>
        <w:t>Exhibit A. Benchmark selection and rejection ledger</w:t>
      </w:r>
    </w:p>
    <w:p>
      <w:r>
        <w:t>Tark benchmark rubric, 12 points, threshold 7 of 12, strategy gate, affiliated providers ineligible. Max attainable by an eligible candidate on held data 8/12.</w:t>
      </w:r>
    </w:p>
    <w:tbl>
      <w:tblPr>
        <w:tblStyle w:val="TableGrid"/>
        <w:tblW w:type="auto" w:w="0"/>
        <w:tblLook w:firstColumn="1" w:firstRow="1" w:lastColumn="0" w:lastRow="0" w:noHBand="0" w:noVBand="1" w:val="04A0"/>
      </w:tblPr>
      <w:tblGrid>
        <w:gridCol w:w="2340"/>
        <w:gridCol w:w="2340"/>
        <w:gridCol w:w="2340"/>
        <w:gridCol w:w="2340"/>
      </w:tblGrid>
      <w:tr>
        <w:tc>
          <w:tcPr>
            <w:tcW w:type="dxa" w:w="1152"/>
          </w:tcPr>
          <w:p>
            <w:r>
              <w:t>Slot</w:t>
            </w:r>
          </w:p>
        </w:tc>
        <w:tc>
          <w:tcPr>
            <w:tcW w:type="dxa" w:w="3456"/>
          </w:tcPr>
          <w:p>
            <w:r>
              <w:t>Candidate</w:t>
            </w:r>
          </w:p>
        </w:tc>
        <w:tc>
          <w:tcPr>
            <w:tcW w:type="dxa" w:w="864"/>
          </w:tcPr>
          <w:p>
            <w:r>
              <w:t>Score</w:t>
            </w:r>
          </w:p>
        </w:tc>
        <w:tc>
          <w:tcPr>
            <w:tcW w:type="dxa" w:w="3888"/>
          </w:tcPr>
          <w:p>
            <w:r>
              <w:t>Outcome</w:t>
            </w:r>
          </w:p>
        </w:tc>
      </w:tr>
      <w:tr>
        <w:tc>
          <w:tcPr>
            <w:tcW w:type="dxa" w:w="1152"/>
          </w:tcPr>
          <w:p>
            <w:r>
              <w:t>Meaningful benchmark (paragraph (k))</w:t>
            </w:r>
          </w:p>
        </w:tc>
        <w:tc>
          <w:tcPr>
            <w:tcW w:type="dxa" w:w="3456"/>
          </w:tcPr>
          <w:p>
            <w:r>
              <w:t>Cliffwater Direct Lending Index (CDLI)</w:t>
            </w:r>
          </w:p>
        </w:tc>
        <w:tc>
          <w:tcPr>
            <w:tcW w:type="dxa" w:w="864"/>
          </w:tcPr>
          <w:p>
            <w:r>
              <w:t>8/12</w:t>
            </w:r>
          </w:p>
        </w:tc>
        <w:tc>
          <w:tcPr>
            <w:tcW w:type="dxa" w:w="3888"/>
          </w:tcPr>
          <w:p>
            <w:r>
              <w:t>selected, no comparison computed: cited, series not in the record: no comparison computed</w:t>
            </w:r>
          </w:p>
        </w:tc>
      </w:tr>
      <w:tr>
        <w:tc>
          <w:tcPr>
            <w:tcW w:type="dxa" w:w="1152"/>
          </w:tcPr>
          <w:p>
            <w:r>
              <w:t>reference, not the benchmark</w:t>
            </w:r>
          </w:p>
        </w:tc>
        <w:tc>
          <w:tcPr>
            <w:tcW w:type="dxa" w:w="3456"/>
          </w:tcPr>
          <w:p>
            <w:r>
              <w:t>Senior loan investable proxy (BKLN, for Morningstar LSTA class)</w:t>
            </w:r>
          </w:p>
        </w:tc>
        <w:tc>
          <w:tcPr>
            <w:tcW w:type="dxa" w:w="864"/>
          </w:tcPr>
          <w:p>
            <w:r>
              <w:t>8/12</w:t>
            </w:r>
          </w:p>
        </w:tc>
        <w:tc>
          <w:tcPr>
            <w:tcW w:type="dxa" w:w="3888"/>
          </w:tcPr>
          <w:p>
            <w:r>
              <w:t>KS-PME 1.1089, Direct Alpha 1.3%/yr, 2018-07-18 to 2026-07-17</w:t>
            </w:r>
          </w:p>
        </w:tc>
      </w:tr>
      <w:tr>
        <w:tc>
          <w:tcPr>
            <w:tcW w:type="dxa" w:w="1152"/>
          </w:tcPr>
          <w:p>
            <w:r>
              <w:t>SEC-required comparator</w:t>
            </w:r>
          </w:p>
        </w:tc>
        <w:tc>
          <w:tcPr>
            <w:tcW w:type="dxa" w:w="3456"/>
          </w:tcPr>
          <w:p>
            <w:r>
              <w:t>ICE BofA US High Yield Index</w:t>
            </w:r>
          </w:p>
        </w:tc>
        <w:tc>
          <w:tcPr>
            <w:tcW w:type="dxa" w:w="864"/>
          </w:tcPr>
          <w:p>
            <w:r/>
          </w:p>
        </w:tc>
        <w:tc>
          <w:tcPr>
            <w:tcW w:type="dxa" w:w="3888"/>
          </w:tcPr>
          <w:p>
            <w:r>
              <w:t>cited, not held, scored 6/12, below the threshold</w:t>
            </w:r>
          </w:p>
        </w:tc>
      </w:tr>
      <w:tr>
        <w:tc>
          <w:tcPr>
            <w:tcW w:type="dxa" w:w="1152"/>
          </w:tcPr>
          <w:p>
            <w:r>
              <w:t>Peer comparison (paragraphs (g) and (h))</w:t>
            </w:r>
          </w:p>
        </w:tc>
        <w:tc>
          <w:tcPr>
            <w:tcW w:type="dxa" w:w="3456"/>
          </w:tcPr>
          <w:p>
            <w:r>
              <w:t>Peer composite, private credit cohort without PIMCO Flexible Credit Income Fund</w:t>
            </w:r>
          </w:p>
        </w:tc>
        <w:tc>
          <w:tcPr>
            <w:tcW w:type="dxa" w:w="864"/>
          </w:tcPr>
          <w:p>
            <w:r>
              <w:t>not scored</w:t>
            </w:r>
          </w:p>
        </w:tc>
        <w:tc>
          <w:tcPr>
            <w:tcW w:type="dxa" w:w="3888"/>
          </w:tcPr>
          <w:p>
            <w:r>
              <w:t>relative wealth ratio 0.8757, annualized excess return -2.62%/yr (not a public market equivalent), 2021 to 2025 (n=4)</w:t>
            </w:r>
          </w:p>
        </w:tc>
      </w:tr>
      <w:tr>
        <w:tc>
          <w:tcPr>
            <w:tcW w:type="dxa" w:w="1152"/>
          </w:tcPr>
          <w:p>
            <w:r>
              <w:t>rejected</w:t>
            </w:r>
          </w:p>
        </w:tc>
        <w:tc>
          <w:tcPr>
            <w:tcW w:type="dxa" w:w="3456"/>
          </w:tcPr>
          <w:p>
            <w:r>
              <w:t>Senior loan investable proxy (BKLN, for Morningstar LSTA class)</w:t>
            </w:r>
          </w:p>
        </w:tc>
        <w:tc>
          <w:tcPr>
            <w:tcW w:type="dxa" w:w="864"/>
          </w:tcPr>
          <w:p>
            <w:r>
              <w:t>8/12</w:t>
            </w:r>
          </w:p>
        </w:tc>
        <w:tc>
          <w:tcPr>
            <w:tcW w:type="dxa" w:w="3888"/>
          </w:tcPr>
          <w:p>
            <w:r>
              <w:t>tied: tied on score, ordered by strategy_match, then risk_liquidity_match, then data held, then alphabetical (score 8/12, selected CDLI)</w:t>
            </w:r>
          </w:p>
        </w:tc>
      </w:tr>
      <w:tr>
        <w:tc>
          <w:tcPr>
            <w:tcW w:type="dxa" w:w="1152"/>
          </w:tcPr>
          <w:p>
            <w:r>
              <w:t>rejected</w:t>
            </w:r>
          </w:p>
        </w:tc>
        <w:tc>
          <w:tcPr>
            <w:tcW w:type="dxa" w:w="3456"/>
          </w:tcPr>
          <w:p>
            <w:r>
              <w:t>Credit Suisse Leveraged Loan Index (CSLLI)</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ICE BofA US High Yield Index</w:t>
            </w:r>
          </w:p>
        </w:tc>
        <w:tc>
          <w:tcPr>
            <w:tcW w:type="dxa" w:w="864"/>
          </w:tcPr>
          <w:p>
            <w:r>
              <w:t>6/12</w:t>
            </w:r>
          </w:p>
        </w:tc>
        <w:tc>
          <w:tcPr>
            <w:tcW w:type="dxa" w:w="3888"/>
          </w:tcPr>
          <w:p>
            <w:r>
              <w:t>score 6/12 below the threshold 7/12</w:t>
            </w:r>
          </w:p>
        </w:tc>
      </w:tr>
      <w:tr>
        <w:tc>
          <w:tcPr>
            <w:tcW w:type="dxa" w:w="1152"/>
          </w:tcPr>
          <w:p>
            <w:r>
              <w:t>rejected</w:t>
            </w:r>
          </w:p>
        </w:tc>
        <w:tc>
          <w:tcPr>
            <w:tcW w:type="dxa" w:w="3456"/>
          </w:tcPr>
          <w:p>
            <w:r>
              <w:t>Morningstar LSTA US Leveraged Loan Index</w:t>
            </w:r>
          </w:p>
        </w:tc>
        <w:tc>
          <w:tcPr>
            <w:tcW w:type="dxa" w:w="864"/>
          </w:tcPr>
          <w:p>
            <w:r>
              <w:t>6/12</w:t>
            </w:r>
          </w:p>
        </w:tc>
        <w:tc>
          <w:tcPr>
            <w:tcW w:type="dxa" w:w="3888"/>
          </w:tcPr>
          <w:p>
            <w:r>
              <w:t>score 6/12 below the threshold 7/12</w:t>
            </w:r>
          </w:p>
        </w:tc>
      </w:tr>
    </w:tbl>
    <w:p>
      <w:pPr>
        <w:pStyle w:val="Heading1"/>
      </w:pPr>
      <w:r>
        <w:t>Exhibit B. Liquidity match for this plan</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interval fund (Rule 23c-3)</w:t>
            </w:r>
          </w:p>
        </w:tc>
        <w:tc>
          <w:tcPr>
            <w:tcW w:type="dxa" w:w="1152"/>
          </w:tcPr>
          <w:p>
            <w:r>
              <w:t>6.1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2025-06-30</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r>
        <w:tc>
          <w:tcPr>
            <w:tcW w:type="dxa" w:w="2448"/>
          </w:tcPr>
          <w:p>
            <w:r>
              <w:t>Fund net assets (for the dollar capacity)</w:t>
            </w:r>
          </w:p>
        </w:tc>
        <w:tc>
          <w:tcPr>
            <w:tcW w:type="dxa" w:w="5760"/>
          </w:tcPr>
          <w:p>
            <w:r>
              <w:t>approx. $3.6B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$719.4M per year (20% of approx. $3.6B net assets, cell 3.6). The plan's demand at the filed rate is $4.6M per year, 0.63%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$3.6B net assets (cell 3.6) is $719.4M per year. At a 5% allocation ($39.6M) the plan's demand at the filed rate is $4.6M per year, 0.63%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Exhibit C. Fees and terms, typed layer</w:t>
      </w:r>
    </w:p>
    <w:p>
      <w:r>
        <w:t>Each line is the typed fact that cites the cell, or the cell's status word when no fact is typed. Full text and provenance are in the record.</w:t>
      </w:r>
    </w:p>
    <w:tbl>
      <w:tblPr>
        <w:tblStyle w:val="TableGrid"/>
        <w:tblW w:type="auto" w:w="0"/>
        <w:tblLook w:firstColumn="1" w:firstRow="1" w:lastColumn="0" w:lastRow="0" w:noHBand="0" w:noVBand="1" w:val="04A0"/>
      </w:tblPr>
      <w:tblGrid>
        <w:gridCol w:w="3120"/>
        <w:gridCol w:w="3120"/>
        <w:gridCol w:w="3120"/>
      </w:tblGrid>
      <w:tr>
        <w:tc>
          <w:tcPr>
            <w:tcW w:type="dxa" w:w="2880"/>
          </w:tcPr>
          <w:p>
            <w:r>
              <w:t>Cell</w:t>
            </w:r>
          </w:p>
        </w:tc>
        <w:tc>
          <w:tcPr>
            <w:tcW w:type="dxa" w:w="3600"/>
          </w:tcPr>
          <w:p>
            <w:r>
              <w:t>Typed headline</w:t>
            </w:r>
          </w:p>
        </w:tc>
        <w:tc>
          <w:tcPr>
            <w:tcW w:type="dxa" w:w="2880"/>
          </w:tcPr>
          <w:p>
            <w:r>
              <w:t>Status</w:t>
            </w:r>
          </w:p>
        </w:tc>
      </w:tr>
      <w:tr>
        <w:tc>
          <w:tcPr>
            <w:tcW w:type="dxa" w:w="2880"/>
          </w:tcPr>
          <w:p>
            <w:r>
              <w:t>2.1 Management fee (rate AND base)</w:t>
            </w:r>
          </w:p>
        </w:tc>
        <w:tc>
          <w:tcPr>
            <w:tcW w:type="dxa" w:w="3600"/>
          </w:tcPr>
          <w:p>
            <w:r>
              <w:t>1.30% on the lesser of two bases</w:t>
            </w:r>
          </w:p>
        </w:tc>
        <w:tc>
          <w:tcPr>
            <w:tcW w:type="dxa" w:w="2880"/>
          </w:tcPr>
          <w:p>
            <w:r>
              <w:t>extracted-unverified</w:t>
            </w:r>
          </w:p>
        </w:tc>
      </w:tr>
      <w:tr>
        <w:tc>
          <w:tcPr>
            <w:tcW w:type="dxa" w:w="2880"/>
          </w:tcPr>
          <w:p>
            <w:r>
              <w:t>2.2 Incentive fee terms</w:t>
            </w:r>
          </w:p>
        </w:tc>
        <w:tc>
          <w:tcPr>
            <w:tcW w:type="dxa" w:w="3600"/>
          </w:tcPr>
          <w:p>
            <w:r>
              <w:t>incentive fee: none</w:t>
            </w:r>
          </w:p>
        </w:tc>
        <w:tc>
          <w:tcPr>
            <w:tcW w:type="dxa" w:w="2880"/>
          </w:tcPr>
          <w:p>
            <w:r>
              <w:t>extracted-unverified</w:t>
            </w:r>
          </w:p>
        </w:tc>
      </w:tr>
      <w:tr>
        <w:tc>
          <w:tcPr>
            <w:tcW w:type="dxa" w:w="2880"/>
          </w:tcPr>
          <w:p>
            <w:r>
              <w:t>2.3 Total expense ratio &amp; waivers</w:t>
            </w:r>
          </w:p>
        </w:tc>
        <w:tc>
          <w:tcPr>
            <w:tcW w:type="dxa" w:w="3600"/>
          </w:tcPr>
          <w:p>
            <w:r>
              <w:t>1.97% expense ratio, excluding interest expense (5.12% including reverse-repo interest), gross equals net, no waivers (FY2025, Institutional)</w:t>
            </w:r>
          </w:p>
        </w:tc>
        <w:tc>
          <w:tcPr>
            <w:tcW w:type="dxa" w:w="2880"/>
          </w:tcPr>
          <w:p>
            <w:r>
              <w:t>extracted-unverified</w:t>
            </w:r>
          </w:p>
        </w:tc>
      </w:tr>
      <w:tr>
        <w:tc>
          <w:tcPr>
            <w:tcW w:type="dxa" w:w="2880"/>
          </w:tcPr>
          <w:p>
            <w:r>
              <w:t>2.4 AFFE</w:t>
            </w:r>
          </w:p>
        </w:tc>
        <w:tc>
          <w:tcPr>
            <w:tcW w:type="dxa" w:w="3600"/>
          </w:tcPr>
          <w:p>
            <w:r>
              <w:t>no AFFE line</w:t>
            </w:r>
          </w:p>
        </w:tc>
        <w:tc>
          <w:tcPr>
            <w:tcW w:type="dxa" w:w="2880"/>
          </w:tcPr>
          <w:p>
            <w:r>
              <w:t>extracted-unverified</w:t>
            </w:r>
          </w:p>
        </w:tc>
      </w:tr>
      <w:tr>
        <w:tc>
          <w:tcPr>
            <w:tcW w:type="dxa" w:w="2880"/>
          </w:tcPr>
          <w:p>
            <w:r>
              <w:t>2.6 Loads &amp; servicing fees</w:t>
            </w:r>
          </w:p>
        </w:tc>
        <w:tc>
          <w:tcPr>
            <w:tcW w:type="dxa" w:w="3600"/>
          </w:tcPr>
          <w:p>
            <w:r>
              <w:t>no typed fact for this cell</w:t>
            </w:r>
          </w:p>
        </w:tc>
        <w:tc>
          <w:tcPr>
            <w:tcW w:type="dxa" w:w="2880"/>
          </w:tcPr>
          <w:p>
            <w:r>
              <w:t>extracted-unverified</w:t>
            </w:r>
          </w:p>
        </w:tc>
      </w:tr>
      <w:tr>
        <w:tc>
          <w:tcPr>
            <w:tcW w:type="dxa" w:w="2880"/>
          </w:tcPr>
          <w:p>
            <w:r>
              <w:t>2.7 Early repurchase fee</w:t>
            </w:r>
          </w:p>
        </w:tc>
        <w:tc>
          <w:tcPr>
            <w:tcW w:type="dxa" w:w="3600"/>
          </w:tcPr>
          <w:p>
            <w:r>
              <w:t>early repurchase fee: none</w:t>
            </w:r>
          </w:p>
        </w:tc>
        <w:tc>
          <w:tcPr>
            <w:tcW w:type="dxa" w:w="2880"/>
          </w:tcPr>
          <w:p>
            <w:r>
              <w:t>extracted-unverified</w:t>
            </w:r>
          </w:p>
        </w:tc>
      </w:tr>
      <w:tr>
        <w:tc>
          <w:tcPr>
            <w:tcW w:type="dxa" w:w="2880"/>
          </w:tcPr>
          <w:p>
            <w:r>
              <w:t>6.4 Tax reporting (1099 vs K-1)</w:t>
            </w:r>
          </w:p>
        </w:tc>
        <w:tc>
          <w:tcPr>
            <w:tcW w:type="dxa" w:w="3600"/>
          </w:tcPr>
          <w:p>
            <w:r>
              <w:t>Form 1099</w:t>
            </w:r>
          </w:p>
        </w:tc>
        <w:tc>
          <w:tcPr>
            <w:tcW w:type="dxa" w:w="2880"/>
          </w:tcPr>
          <w:p>
            <w:r>
              <w:t>extracted-unverified</w:t>
            </w:r>
          </w:p>
        </w:tc>
      </w:tr>
    </w:tbl>
    <w:p>
      <w:pPr>
        <w:pStyle w:val="Heading1"/>
      </w:pPr>
      <w:r>
        <w:t>Exhibit D. Peer cohort placement</w:t>
      </w:r>
    </w:p>
    <w:p>
      <w:r>
        <w:t>Cohort Private credit (interval fund + non-traded BDC) (n=5). Flexible multi-sector credit in the SAME wrapper as cclfx (interval, quarterly 5%). A wrapper twin with a broader credit mandate (loans, structured, EM). Mandate breadth is the disclosed mismatch.</w:t>
      </w:r>
    </w:p>
    <w:p>
      <w:r>
        <w:t>Cohort placement (private credit cohort): mgmt fee: 90th percentile of cohort (n=5), above the median of 1.25 | expense ratio (bases differ, see notes): 30th percentile of cohort (n=5), below the median of 3.76 | repurchase cap: 50th percentile of cohort (n=5), at the median of 5. Statistics and per-member values are in the cohort artifact, membership rationales in the typed facts.</w:t>
      </w:r>
    </w:p>
    <w:p>
      <w:pPr>
        <w:pStyle w:val="ListBullet"/>
      </w:pPr>
      <w:r>
        <w:t>LEVERAGE-REGIME MIX: BDC 150% coverage and non-1940-Act wrappers allow materially more leverage than 1940-Act funds. Fee bases and return volatility are not like-for-like. [typed per product: bcred: BDC 150% asset-coverage regime, cion_ares: 1940-Act asset-coverage limits, cliffwater_cclfx: 1940-Act asset-coverage limits, ocic: BDC 150% asset-coverage regime, pflex: 1940-Act asset-coverage limits]</w:t>
      </w:r>
    </w:p>
    <w:p>
      <w:pPr>
        <w:pStyle w:val="ListBullet"/>
      </w:pPr>
      <w:r>
        <w:t>LIQUIDITY-LAW MIX: Rule 23c-3 obligations, discretionary tenders, and repurchase plans give different worst-case exit rights. Cadence numbers alone overstate comparability. [by wrapper type: bcred: board-discretionary share repurchases, cion_ares: Rule 23c-3 OBLIGATION (board cannot skip a window), cliffwater_cclfx: Rule 23c-3 OBLIGATION (board cannot skip a window), ocic: board-discretionary share repurchases, pflex: Rule 23c-3 OBLIGATION (board cannot skip a window)]</w:t>
      </w:r>
    </w:p>
    <w:p>
      <w:pPr>
        <w:pStyle w:val="ListBullet"/>
      </w:pPr>
      <w:r>
        <w:t>NAV-CADENCE MIX: daily, monthly, and quarterly NAV processes embed different appraisal smoothing. Volatility and drawdown comparisons inherit that difference (see de-smoothing lab). [typed per product: bcred: monthly, cion_ares: daily, cliffwater_cclfx: daily, ocic: quarterly, pflex: daily]</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w:t>
      </w:r>
    </w:p>
    <w:p>
      <w:pPr>
        <w:pStyle w:val="Heading1"/>
      </w:pPr>
      <w:r>
        <w:t>Provenance</w:t>
      </w:r>
    </w:p>
    <w:p>
      <w:r>
        <w:t>Cell status for this product: structured 0, extracted-unverified 27, verified 0, computed 14, partial 2, fetched 1, n/a 11, pending 0.</w:t>
      </w:r>
    </w:p>
    <w:p>
      <w:r>
        <w:t>Regulatory basis: Fiduciary Duties in Selecting Designated Investment Alternatives, 91 FR 16088 (Mar. 31, 2026), RIN 1210-AC38, proposed 29 CFR 2550.404a-6, paragraphs (g) to (l), cited not paraphrased. Every figure above is a cited cell, a typed projection of one, or an engine artifact of the record as of 2026-09-04. Scenario figures are ILLUSTRATIVE. The plan is shown under its anonymized label.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