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Starwood Real Estate Income Trust, Inc. (non-traded REIT ('34 Act reporting), CIK 1711929)</w:t>
        <w:br/>
      </w:r>
      <w:r>
        <w:t>Record as of 2026-09-04. DRAFT, generated by the build from the record. The decision memo for the same plan and product is a separate document.</w:t>
      </w:r>
    </w:p>
    <w:p>
      <w:pPr>
        <w:pStyle w:val="Heading1"/>
      </w:pPr>
      <w:r>
        <w:t>Summary</w:t>
      </w:r>
    </w:p>
    <w:p>
      <w:r>
        <w:t>Structural liquidity verdict: MISALIGNED (typed facts, plan-independent). Scenario verdict under this plan (ILLUSTRATIVE, default sliders): MISALIGNED.</w:t>
      </w:r>
    </w:p>
    <w:p>
      <w:r>
        <w:t>Meaningful benchmark (paragraph (k)): NCREIF Fund Index - ODCE (private core RE) at 9/12, no comparison computed (cited, series not in the record: no comparison computed).</w:t>
      </w:r>
    </w:p>
    <w:p>
      <w:r>
        <w:t>Reference comparison, not the meaningful benchmark: Listed REIT investable proxy (VNQ), KS-PME 0.9453, Direct Alpha -5.47%/yr over 2024-12-31 to 2025-12-31.</w:t>
      </w:r>
    </w:p>
    <w:p>
      <w:r>
        <w:t>Peer comparison (paragraphs (g) and (h)): composite refused, fewer than 3 peers remain after leaving Starwood Real Estate Income Trust, Inc. out (2: Blackstone Real Estate Income Trust Inc, JLL Income Property Trust, Inc.).</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Benchmark: low confidence: 1-year window, shorter than 3 years (benchmark comparison)</w:t>
      </w:r>
    </w:p>
    <w:p>
      <w:pPr>
        <w:pStyle w:val="ListBullet"/>
      </w:pPr>
      <w:r>
        <w:t>Peer comparison: composite refused, fewer than 3 peers remain after leaving Starwood Real Estate Income Trust, Inc. out (2: Blackstone Real Estate Income Trust Inc, JLL Income Property Trust, Inc.) (cell 1.12)</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(the filed outflow proxy or the stressed demand above wrapper capacity)</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REIT investable proxy (VNQ)</w:t>
            </w:r>
          </w:p>
        </w:tc>
        <w:tc>
          <w:tcPr>
            <w:tcW w:type="dxa" w:w="864"/>
          </w:tcPr>
          <w:p>
            <w:r>
              <w:t>8/12</w:t>
            </w:r>
          </w:p>
        </w:tc>
        <w:tc>
          <w:tcPr>
            <w:tcW w:type="dxa" w:w="3888"/>
          </w:tcPr>
          <w:p>
            <w:r>
              <w:t>KS-PME 0.9453, Direct Alpha -5.47%/yr, 2024-12-31 to 2025-12-31</w:t>
            </w:r>
          </w:p>
        </w:tc>
      </w:tr>
      <w:tr>
        <w:tc>
          <w:tcPr>
            <w:tcW w:type="dxa" w:w="1152"/>
          </w:tcPr>
          <w:p>
            <w:r>
              <w:t>Peer comparison (paragraphs (g) and (h))</w:t>
            </w:r>
          </w:p>
        </w:tc>
        <w:tc>
          <w:tcPr>
            <w:tcW w:type="dxa" w:w="3456"/>
          </w:tcPr>
          <w:p>
            <w:r>
              <w:t>Peer composite, non-traded real estate cohort without Starwood Real Estate Income Trust, Inc.</w:t>
            </w:r>
          </w:p>
        </w:tc>
        <w:tc>
          <w:tcPr>
            <w:tcW w:type="dxa" w:w="864"/>
          </w:tcPr>
          <w:p>
            <w:r>
              <w:t>not scored</w:t>
            </w:r>
          </w:p>
        </w:tc>
        <w:tc>
          <w:tcPr>
            <w:tcW w:type="dxa" w:w="3888"/>
          </w:tcPr>
          <w:p>
            <w:r>
              <w:t>composite refused: fewer than 3 peers remain after leaving Starwood Real Estate Income Trust, Inc. out (2: Blackstone Real Estate Income Trust Inc, JLL Income Property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MISALIGNED</w:t>
      </w:r>
    </w:p>
    <w:p>
      <w:pPr>
        <w:pStyle w:val="ListBullet"/>
      </w:pPr>
      <w:r>
        <w:t>STRUCTURAL GAP: a participant-directed 404(c) menu assumes daily pricing and daily participant liquidity, whereas repurchases are suspended (cell 3.1).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repurchases suspended since the April 29, 2026 amendment (3.1)</w:t>
            </w:r>
          </w:p>
        </w:tc>
        <w:tc>
          <w:tcPr>
            <w:tcW w:type="dxa" w:w="1152"/>
          </w:tcPr>
          <w:p>
            <w:r>
              <w:t>3.1</w:t>
            </w:r>
          </w:p>
        </w:tc>
      </w:tr>
      <w:tr>
        <w:tc>
          <w:tcPr>
            <w:tcW w:type="dxa" w:w="2448"/>
          </w:tcPr>
          <w:p>
            <w:r>
              <w:t>Repurchase caps</w:t>
            </w:r>
          </w:p>
        </w:tc>
        <w:tc>
          <w:tcPr>
            <w:tcW w:type="dxa" w:w="5760"/>
          </w:tcPr>
          <w:p>
            <w:r>
              <w:t>0% per month for ordinary requests (suspended), 0% per year</w:t>
            </w:r>
          </w:p>
        </w:tc>
        <w:tc>
          <w:tcPr>
            <w:tcW w:type="dxa" w:w="1152"/>
          </w:tcPr>
          <w:p>
            <w:r>
              <w:t>3.1</w:t>
            </w:r>
          </w:p>
        </w:tc>
      </w:tr>
      <w:tr>
        <w:tc>
          <w:tcPr>
            <w:tcW w:type="dxa" w:w="2448"/>
          </w:tcPr>
          <w:p>
            <w:r>
              <w:t>Annual capacity (binding cap)</w:t>
            </w:r>
          </w:p>
        </w:tc>
        <w:tc>
          <w:tcPr>
            <w:tcW w:type="dxa" w:w="5760"/>
          </w:tcPr>
          <w:p>
            <w:r>
              <w:t>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1.1</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EXCEEDS annual wrapper capacity (16.6% vs 0%). Unmet demand rolls into later windows (gating-equivalent outcome).</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Filed outflow proxy (Schedule H, plan year 2024-01-01 to 2024-12-31): 11.5% of the position per year vs 0% annual wrapper capacity, the plan's total expenses less administrative expenses over beginning net assets, applied to the position. EXCEEDS: repurchases are closed, so every request waits for the program to reopen.</w:t>
      </w:r>
    </w:p>
    <w:p>
      <w:pPr>
        <w:pStyle w:val="ListBullet"/>
      </w:pPr>
      <w:r>
        <w:t>Slider assumption (illustrative): 7.2% of the position per year vs 0% annual wrapper capacity, from tail turnover 20%/yr on the 14.9% of accounts that are separated and active turnover 5%/yr on the rest. Shown beside the filed rate, not blended with it. EXCEEDS: repurchases are closed, so every request waits for the program to reopen.</w:t>
      </w:r>
    </w:p>
    <w:p>
      <w:pPr>
        <w:pStyle w:val="ListBullet"/>
      </w:pPr>
      <w:r>
        <w:t>Scenario verdict (ILLUSTRATIVE, this plan): misaligned.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not applicable, the record states why</w:t>
            </w:r>
          </w:p>
        </w:tc>
        <w:tc>
          <w:tcPr>
            <w:tcW w:type="dxa" w:w="2880"/>
          </w:tcPr>
          <w:p>
            <w:r>
              <w:t>n/a - not publicly available: no TER disclosure exists for a '34-Act non-traded REIT - zero hits for 'expense ratio' in the stripped FY2025 10-K and Q2-2026 10-Q; fee-burden components evidenced in 2.1/2.2/2.6/2.7</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5% &lt; 1 year</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Non-traded NAV REITs (n=3). Non-traded monthly-NAV REIT -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24, verified 0, computed 11, partial 6,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