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Neostellar Capital Corp. (fka SuRo Capital Corp., SSSS) (LISTED BDC (exchange-traded; pre-IPO growth holdings), CIK 1509470)</w:t>
        <w:br/>
      </w:r>
      <w:r>
        <w:t>Record as of 2026-09-04. DRAFT, generated by the build from the record. The decision memo for the same plan and product is a separate document.</w:t>
      </w:r>
    </w:p>
    <w:p>
      <w:pPr>
        <w:pStyle w:val="Heading1"/>
      </w:pPr>
      <w:r>
        <w:t>Summary</w:t>
      </w:r>
    </w:p>
    <w:p>
      <w:r>
        <w:t>Structural liquidity verdict: ALIGNED-MECHANICAL (typed facts, plan-independent). Scenario verdict under this plan (ILLUSTRATIVE, default sliders):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Peer comparison (paragraphs (g) and (h)): composite refused, fewer than 3 peers remain after leaving Neostellar Capital Corp. out (2: Destiny Tech100 Inc, ARK Venture Fund).</w:t>
      </w:r>
    </w:p>
    <w:p>
      <w:r>
        <w:t>Flags raised by the record (each restates a typed value or verdict,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Neostellar Capital Corp. out (2: Destiny Tech100 Inc, ARK Venture Fund) (cell 1.12)</w:t>
      </w:r>
    </w:p>
    <w:p>
      <w:r>
        <w:t>Evidence coverage: 45 of 45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SEC-required comparator</w:t>
            </w:r>
          </w:p>
        </w:tc>
        <w:tc>
          <w:tcPr>
            <w:tcW w:type="dxa" w:w="3456"/>
          </w:tcPr>
          <w:p>
            <w:r>
              <w:t>S&amp;P 500</w:t>
            </w:r>
          </w:p>
        </w:tc>
        <w:tc>
          <w:tcPr>
            <w:tcW w:type="dxa" w:w="864"/>
          </w:tcPr>
          <w:p>
            <w:r/>
          </w:p>
        </w:tc>
        <w:tc>
          <w:tcPr>
            <w:tcW w:type="dxa" w:w="3888"/>
          </w:tcPr>
          <w:p>
            <w:r>
              <w:t>held, scored 7/12, fund price decoupled from NAV. KS-PME 1.0302, Direct Alpha 0.37%/yr, 2018-07-18 to 2026-07-17</w:t>
            </w:r>
          </w:p>
        </w:tc>
      </w:tr>
      <w:tr>
        <w:tc>
          <w:tcPr>
            <w:tcW w:type="dxa" w:w="1152"/>
          </w:tcPr>
          <w:p>
            <w:r>
              <w:t>Peer comparison (paragraphs (g) and (h))</w:t>
            </w:r>
          </w:p>
        </w:tc>
        <w:tc>
          <w:tcPr>
            <w:tcW w:type="dxa" w:w="3456"/>
          </w:tcPr>
          <w:p>
            <w:r>
              <w:t>Peer composite, pre-IPO and venture cohort without Neostellar Capital Corp.</w:t>
            </w:r>
          </w:p>
        </w:tc>
        <w:tc>
          <w:tcPr>
            <w:tcW w:type="dxa" w:w="864"/>
          </w:tcPr>
          <w:p>
            <w:r>
              <w:t>not scored</w:t>
            </w:r>
          </w:p>
        </w:tc>
        <w:tc>
          <w:tcPr>
            <w:tcW w:type="dxa" w:w="3888"/>
          </w:tcPr>
          <w:p>
            <w:r>
              <w:t>composite refused: fewer than 3 peers remain after leaving Neostellar Capital Corp. out (2: Destiny Tech100 Inc, ARK Venture Fund)</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fund price is premium/discount-driven and decoupled from NAV. Benchmarking the price benchmarks the premium, not the portfolio</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BDC</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not applicable (exchange-traded).</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11.5%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7.2% of the position per year, from tail turnover 20%/yr on the 14.9% of accounts that are separated and active turnover 5%/yr on the rest. Shown beside the filed rate, not blended with it, and likewise a selling rate against market depth.</w:t>
      </w:r>
    </w:p>
    <w:p>
      <w:r>
        <w:t>Cited: cell 3.1, cell 3.3,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1.75% on gross assets incl. borrowings</w:t>
            </w:r>
          </w:p>
        </w:tc>
        <w:tc>
          <w:tcPr>
            <w:tcW w:type="dxa" w:w="2880"/>
          </w:tcPr>
          <w:p>
            <w:r>
              <w:t>extracted-unverified</w:t>
            </w:r>
          </w:p>
        </w:tc>
      </w:tr>
      <w:tr>
        <w:tc>
          <w:tcPr>
            <w:tcW w:type="dxa" w:w="2880"/>
          </w:tcPr>
          <w:p>
            <w:r>
              <w:t>2.2 Incentive fee terms</w:t>
            </w:r>
          </w:p>
        </w:tc>
        <w:tc>
          <w:tcPr>
            <w:tcW w:type="dxa" w:w="3600"/>
          </w:tcPr>
          <w:p>
            <w:r>
              <w:t>incentive fee: 7% hurdle</w:t>
            </w:r>
          </w:p>
        </w:tc>
        <w:tc>
          <w:tcPr>
            <w:tcW w:type="dxa" w:w="2880"/>
          </w:tcPr>
          <w:p>
            <w:r>
              <w:t>extracted-unverified</w:t>
            </w:r>
          </w:p>
        </w:tc>
      </w:tr>
      <w:tr>
        <w:tc>
          <w:tcPr>
            <w:tcW w:type="dxa" w:w="2880"/>
          </w:tcPr>
          <w:p>
            <w:r>
              <w:t>2.3 Total expense ratio &amp; waivers</w:t>
            </w:r>
          </w:p>
        </w:tc>
        <w:tc>
          <w:tcPr>
            <w:tcW w:type="dxa" w:w="3600"/>
          </w:tcPr>
          <w:p>
            <w:r>
              <w:t>9.46% expense ratio, net operating expenses under internal management, the fee regime changed 2026-07-15 (FY2025)</w:t>
            </w:r>
          </w:p>
        </w:tc>
        <w:tc>
          <w:tcPr>
            <w:tcW w:type="dxa" w:w="2880"/>
          </w:tcPr>
          <w:p>
            <w:r>
              <w:t>extracted-unverified</w:t>
            </w:r>
          </w:p>
        </w:tc>
      </w:tr>
      <w:tr>
        <w:tc>
          <w:tcPr>
            <w:tcW w:type="dxa" w:w="2880"/>
          </w:tcPr>
          <w:p>
            <w:r>
              <w:t>2.4 AFFE</w:t>
            </w:r>
          </w:p>
        </w:tc>
        <w:tc>
          <w:tcPr>
            <w:tcW w:type="dxa" w:w="3600"/>
          </w:tcPr>
          <w:p>
            <w:r>
              <w:t>AFFE 0.06%</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not applicable, the record states why</w:t>
            </w:r>
          </w:p>
        </w:tc>
        <w:tc>
          <w:tcPr>
            <w:tcW w:type="dxa" w:w="2880"/>
          </w:tcPr>
          <w:p>
            <w:r>
              <w:t>n/a - exchange-traded: no investor-level repurchase/redemption exists, so no early-repurchase fee is possible; exit is on-exchange sale at market price</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Pre-IPO / venture growth (listed CEF + listed BDC + interval fund) (n=3).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27, verified 0, computed 13, partial 4, fetched 1,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