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AMG Pantheon Fund, LLC (tender-offer fund ('40 Act), evergreen PE, CIK 1609211)</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1.5919, Direct Alpha 6.87%/yr over 2019-03-31 to 2026-03-31.</w:t>
      </w:r>
    </w:p>
    <w:p>
      <w:r>
        <w:t>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 (cell 1.12)</w:t>
      </w:r>
    </w:p>
    <w:p>
      <w:pPr>
        <w:pStyle w:val="ListBullet"/>
      </w:pPr>
      <w:r>
        <w:t>Liquidity: structural verdict partial, facts missing: gate_history (cells 3.1, 3.3)</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1.5919, Direct Alpha 6.87%/yr, 2019-03-31 to 2026-03-31</w:t>
            </w:r>
          </w:p>
        </w:tc>
      </w:tr>
      <w:tr>
        <w:tc>
          <w:tcPr>
            <w:tcW w:type="dxa" w:w="1152"/>
          </w:tcPr>
          <w:p>
            <w:r>
              <w:t>SEC-required comparator</w:t>
            </w:r>
          </w:p>
        </w:tc>
        <w:tc>
          <w:tcPr>
            <w:tcW w:type="dxa" w:w="3456"/>
          </w:tcPr>
          <w:p>
            <w:r>
              <w:t>MSCI World Index</w:t>
            </w:r>
          </w:p>
        </w:tc>
        <w:tc>
          <w:tcPr>
            <w:tcW w:type="dxa" w:w="864"/>
          </w:tcPr>
          <w:p>
            <w:r/>
          </w:p>
        </w:tc>
        <w:tc>
          <w:tcPr>
            <w:tcW w:type="dxa" w:w="3888"/>
          </w:tcPr>
          <w:p>
            <w:r>
              <w:t>held, scored 7/12, fails the strategy gate (strategy_match 1/3). KS-PME 1.0483, Direct Alpha 0.68%/yr, 2019-03-31 to 2026-03-31</w:t>
            </w:r>
          </w:p>
        </w:tc>
      </w:tr>
      <w:tr>
        <w:tc>
          <w:tcPr>
            <w:tcW w:type="dxa" w:w="1152"/>
          </w:tcPr>
          <w:p>
            <w:r>
              <w:t>Peer comparison (paragraphs (g) and (h))</w:t>
            </w:r>
          </w:p>
        </w:tc>
        <w:tc>
          <w:tcPr>
            <w:tcW w:type="dxa" w:w="3456"/>
          </w:tcPr>
          <w:p>
            <w:r>
              <w:t>Peer composite, evergreen private equity cohort without AMG Pantheon Fund, LLC</w:t>
            </w:r>
          </w:p>
        </w:tc>
        <w:tc>
          <w:tcPr>
            <w:tcW w:type="dxa" w:w="864"/>
          </w:tcPr>
          <w:p>
            <w:r>
              <w:t>not scored</w:t>
            </w:r>
          </w:p>
        </w:tc>
        <w:tc>
          <w:tcPr>
            <w:tcW w:type="dxa" w:w="3888"/>
          </w:tcPr>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(no proration or oversubscription event is disclosed in the on-disk documents, but the tendered-versus-accepted amounts per offer are not printed either. Completed-tender dollars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no proration or oversubscription event is disclosed in the on-disk documents, but the tendered-versus-accepted amounts per offer are not printed either. Completed-tender dollars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0.70% on net assets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2.38% expense ratio, total annual expenses of the inception class, classes range 2.38% to 3.38%</w:t>
            </w:r>
          </w:p>
        </w:tc>
        <w:tc>
          <w:tcPr>
            <w:tcW w:type="dxa" w:w="2880"/>
          </w:tcPr>
          <w:p>
            <w:r>
              <w:t>extracted-unverified</w:t>
            </w:r>
          </w:p>
        </w:tc>
      </w:tr>
      <w:tr>
        <w:tc>
          <w:tcPr>
            <w:tcW w:type="dxa" w:w="2880"/>
          </w:tcPr>
          <w:p>
            <w:r>
              <w:t>2.4 AFFE</w:t>
            </w:r>
          </w:p>
        </w:tc>
        <w:tc>
          <w:tcPr>
            <w:tcW w:type="dxa" w:w="3600"/>
          </w:tcPr>
          <w:p>
            <w:r>
              <w:t>AFFE 0.81%</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(Pantheon) tender-offer LLC - wrapper and strategy twin of hl_paf/stepstone_spm.</w:t>
      </w:r>
    </w:p>
    <w:p>
      <w:r>
        <w:t>Cohort placement (evergreen private equity cohort): mgmt fee: 10th percentile of cohort (n=5), below the median of 1.4 | expense ratio (bases differ, see notes): 30th percentile of cohort (n=5), below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27, verified 0, computed 11,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