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AMG Pantheon Fund, LLC (tender-offer fund ('40 Act), evergreen PE, CIK 1609211)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1.59 vs PSP (reference, not the benchmark). 1.11 inception 2014-09-30, 11.5 years.</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 approx. 11.5-year track record at FYE 2026-03-31.</w:t>
            </w:r>
          </w:p>
          <w:p>
            <w:r>
              <w:t>1.12 Peer comparison (paragraphs (g) and (h)) (computed): Peer comparison (paragraphs (g) and (h)): evergreen private equity cohort, peers Hamilton Lane Private Assets Fund, StepStone Private Markets, KKR Private Equity Conglomerate LLC, Ares Private Markets Fund, fund return basis filed fiscal-year returns.</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c>
          <w:tcPr>
            <w:tcW w:type="dxa" w:w="1728"/>
          </w:tcPr>
          <w:p>
            <w:r>
              <w:t>2. Fees (h)</w:t>
            </w:r>
          </w:p>
        </w:tc>
        <w:tc>
          <w:tcPr>
            <w:tcW w:type="dxa" w:w="7632"/>
          </w:tcPr>
          <w:p>
            <w:r>
              <w:t>Typed facts: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 no incentive or performance fee line.</w:t>
            </w:r>
          </w:p>
          <w:p>
            <w:r>
              <w:t>2.3 Total expense ratio &amp; waivers (extracted-unverified): N-2 fee tables, Total Annual Expenses (as % of net assets attributable to Units): Class 1 3.13%, Class 2 2.88%, Class 3 2.63%, Class 4 2.38%, Class 5 3.38% -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3.3 repurchase cadence per year: 4. 3.9 structural verdict partial, plan-independent.</w:t>
            </w:r>
          </w:p>
          <w:p>
            <w:r>
              <w:t>3.1 Wrapper liquidity terms (extracted-unverified): Wrapper liquidity: unlisted tender-offer fund; no unitholder redemption right -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KPMG LLP (Big 4).</w:t>
            </w:r>
          </w:p>
          <w:p>
            <w:r>
              <w:t>4.1 Valuation policy &amp; NAV frequency (extracted-unverified): NAV FREQUENCY: monthly -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Cambridge PE benchmark selected, 9/12.</w:t>
            </w:r>
          </w:p>
          <w:p>
            <w:r>
              <w:t>5.1 Self-declared benchmark (extracted-unverified): Self-declared comparison index in the annual report: MSCI World Index - used in both the cumulative-return graph (hypothetical $50,000,000 in Class 4 units vs the index) and the Average Annual Total Returns table (MSCI World rows measured from Fund inception 09/30/14: 1yr 18.90%, 5yr 10.27%, 10yr 11.80%, SI 10.16%).</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2019-03-31 to 2026-03-31 (series comparison, clipped: proxy series begins 2018-07-18, 3 fiscal year(s) outside it dropped).</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 no K-1.</w:t>
            </w:r>
          </w:p>
          <w:p>
            <w:r>
              <w:t>6.5 Service-provider web (extracted-unverified): Adviser/Investment Manager: Pantheon Ventures (US) LP (San Francisco; also sub-administrator).</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2019-03-31 to 2026-03-31 (clipped: proxy series begins 2018-07-18, 3 fiscal year(s) outside it dropped): fund 13.3%/yr (filed fiscal-year returns) vs the public series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MSCI World Index, held, scored 7/12, fails the strategy gate (strategy_match 1/3). The declaration itself earns no points.</w:t>
      </w:r>
    </w:p>
    <w:p>
      <w:r>
        <w:t>Window 2019-03-31 to 2026-03-31 (clipped: proxy series begins 2018-07-18, 3 fiscal year(s) outside it dropped): fund 13.3%/yr (filed fiscal-year returns) vs MSCI World Index 12.54%/yr, KS-PME 1.0483, Direct Alpha 0.68%/yr.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comparison index of the annual report's required performance presentation, no benchmark the fund is managed to.</w:t>
      </w:r>
    </w:p>
    <w:p>
      <w:pPr>
        <w:pStyle w:val="Heading2"/>
      </w:pPr>
      <w:r>
        <w:t>Peer comparison (paragraphs (g) and (h)): evergreen private equity cohort</w:t>
      </w:r>
    </w:p>
    <w:p>
      <w:r>
        <w:t>Peers: Hamilton Lane Private Assets Fund, StepStone Private Markets, KKR Private Equity Conglomerate LLC, Ares Private Markets Fund.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AMG Pantheon Fund, LLC</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Ares Private Markets Fund</w:t>
            </w:r>
          </w:p>
        </w:tc>
      </w:tr>
      <w:tr>
        <w:tc>
          <w:tcPr>
            <w:tcW w:type="dxa" w:w="1337"/>
          </w:tcPr>
          <w:p>
            <w:r>
              <w:t>FY2017 (year to 2017-03-31)</w:t>
            </w:r>
          </w:p>
        </w:tc>
        <w:tc>
          <w:tcPr>
            <w:tcW w:type="dxa" w:w="1337"/>
          </w:tcPr>
          <w:p>
            <w:r>
              <w:t>1</w:t>
            </w:r>
          </w:p>
        </w:tc>
        <w:tc>
          <w:tcPr>
            <w:tcW w:type="dxa" w:w="1337"/>
          </w:tcPr>
          <w:p>
            <w:r>
              <w:t>14.27%</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FY2018 (year to 2018-03-31)</w:t>
            </w:r>
          </w:p>
        </w:tc>
        <w:tc>
          <w:tcPr>
            <w:tcW w:type="dxa" w:w="1337"/>
          </w:tcPr>
          <w:p>
            <w:r>
              <w:t>1</w:t>
            </w:r>
          </w:p>
        </w:tc>
        <w:tc>
          <w:tcPr>
            <w:tcW w:type="dxa" w:w="1337"/>
          </w:tcPr>
          <w:p>
            <w:r>
              <w:t>14.26%</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FY2019 (year to 2019-03-31)</w:t>
            </w:r>
          </w:p>
        </w:tc>
        <w:tc>
          <w:tcPr>
            <w:tcW w:type="dxa" w:w="1337"/>
          </w:tcPr>
          <w:p>
            <w:r>
              <w:t>1</w:t>
            </w:r>
          </w:p>
        </w:tc>
        <w:tc>
          <w:tcPr>
            <w:tcW w:type="dxa" w:w="1337"/>
          </w:tcPr>
          <w:p>
            <w:r>
              <w:t>10.11%</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FY2020 (year to 2020-03-31)</w:t>
            </w:r>
          </w:p>
        </w:tc>
        <w:tc>
          <w:tcPr>
            <w:tcW w:type="dxa" w:w="1337"/>
          </w:tcPr>
          <w:p>
            <w:r>
              <w:t>1</w:t>
            </w:r>
          </w:p>
        </w:tc>
        <w:tc>
          <w:tcPr>
            <w:tcW w:type="dxa" w:w="1337"/>
          </w:tcPr>
          <w:p>
            <w:r>
              <w:t>4.15%</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FY2021 (year to 2021-03-31)</w:t>
            </w:r>
          </w:p>
        </w:tc>
        <w:tc>
          <w:tcPr>
            <w:tcW w:type="dxa" w:w="1337"/>
          </w:tcPr>
          <w:p>
            <w:r>
              <w:t>1</w:t>
            </w:r>
          </w:p>
        </w:tc>
        <w:tc>
          <w:tcPr>
            <w:tcW w:type="dxa" w:w="1337"/>
          </w:tcPr>
          <w:p>
            <w:r>
              <w:t>35.72%</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FY2022 (year to 2022-03-31)</w:t>
            </w:r>
          </w:p>
        </w:tc>
        <w:tc>
          <w:tcPr>
            <w:tcW w:type="dxa" w:w="1337"/>
          </w:tcPr>
          <w:p>
            <w:r>
              <w:t>3</w:t>
            </w:r>
          </w:p>
        </w:tc>
        <w:tc>
          <w:tcPr>
            <w:tcW w:type="dxa" w:w="1337"/>
          </w:tcPr>
          <w:p>
            <w:r>
              <w:t>18.36%</w:t>
            </w:r>
          </w:p>
        </w:tc>
        <w:tc>
          <w:tcPr>
            <w:tcW w:type="dxa" w:w="1337"/>
          </w:tcPr>
          <w:p>
            <w:r>
              <w:t>20.77%</w:t>
            </w:r>
          </w:p>
        </w:tc>
        <w:tc>
          <w:tcPr>
            <w:tcW w:type="dxa" w:w="1337"/>
          </w:tcPr>
          <w:p>
            <w:r>
              <w:t>29.43%</w:t>
            </w:r>
          </w:p>
        </w:tc>
        <w:tc>
          <w:tcPr>
            <w:tcW w:type="dxa" w:w="1337"/>
          </w:tcPr>
          <w:p>
            <w:r>
              <w:t>n/a</w:t>
            </w:r>
          </w:p>
        </w:tc>
        <w:tc>
          <w:tcPr>
            <w:tcW w:type="dxa" w:w="1337"/>
          </w:tcPr>
          <w:p>
            <w:r>
              <w:t>n/a</w:t>
            </w:r>
          </w:p>
        </w:tc>
      </w:tr>
      <w:tr>
        <w:tc>
          <w:tcPr>
            <w:tcW w:type="dxa" w:w="1337"/>
          </w:tcPr>
          <w:p>
            <w:r>
              <w:t>FY2023 (year to 2023-03-31)</w:t>
            </w:r>
          </w:p>
        </w:tc>
        <w:tc>
          <w:tcPr>
            <w:tcW w:type="dxa" w:w="1337"/>
          </w:tcPr>
          <w:p>
            <w:r>
              <w:t>4</w:t>
            </w:r>
          </w:p>
        </w:tc>
        <w:tc>
          <w:tcPr>
            <w:tcW w:type="dxa" w:w="1337"/>
          </w:tcPr>
          <w:p>
            <w:r>
              <w:t>6.45%</w:t>
            </w:r>
          </w:p>
        </w:tc>
        <w:tc>
          <w:tcPr>
            <w:tcW w:type="dxa" w:w="1337"/>
          </w:tcPr>
          <w:p>
            <w:r>
              <w:t>16.1%</w:t>
            </w:r>
          </w:p>
        </w:tc>
        <w:tc>
          <w:tcPr>
            <w:tcW w:type="dxa" w:w="1337"/>
          </w:tcPr>
          <w:p>
            <w:r>
              <w:t>8.23%</w:t>
            </w:r>
          </w:p>
        </w:tc>
        <w:tc>
          <w:tcPr>
            <w:tcW w:type="dxa" w:w="1337"/>
          </w:tcPr>
          <w:p>
            <w:r>
              <w:t>n/a</w:t>
            </w:r>
          </w:p>
        </w:tc>
        <w:tc>
          <w:tcPr>
            <w:tcW w:type="dxa" w:w="1337"/>
          </w:tcPr>
          <w:p>
            <w:r>
              <w:t>9.27%</w:t>
            </w:r>
          </w:p>
        </w:tc>
      </w:tr>
      <w:tr>
        <w:tc>
          <w:tcPr>
            <w:tcW w:type="dxa" w:w="1337"/>
          </w:tcPr>
          <w:p>
            <w:r>
              <w:t>FY2024 (year to 2024-03-31)</w:t>
            </w:r>
          </w:p>
        </w:tc>
        <w:tc>
          <w:tcPr>
            <w:tcW w:type="dxa" w:w="1337"/>
          </w:tcPr>
          <w:p>
            <w:r>
              <w:t>4</w:t>
            </w:r>
          </w:p>
        </w:tc>
        <w:tc>
          <w:tcPr>
            <w:tcW w:type="dxa" w:w="1337"/>
          </w:tcPr>
          <w:p>
            <w:r>
              <w:t>12.08%</w:t>
            </w:r>
          </w:p>
        </w:tc>
        <w:tc>
          <w:tcPr>
            <w:tcW w:type="dxa" w:w="1337"/>
          </w:tcPr>
          <w:p>
            <w:r>
              <w:t>12.68%</w:t>
            </w:r>
          </w:p>
        </w:tc>
        <w:tc>
          <w:tcPr>
            <w:tcW w:type="dxa" w:w="1337"/>
          </w:tcPr>
          <w:p>
            <w:r>
              <w:t>13.79%</w:t>
            </w:r>
          </w:p>
        </w:tc>
        <w:tc>
          <w:tcPr>
            <w:tcW w:type="dxa" w:w="1337"/>
          </w:tcPr>
          <w:p>
            <w:r>
              <w:t>n/a</w:t>
            </w:r>
          </w:p>
        </w:tc>
        <w:tc>
          <w:tcPr>
            <w:tcW w:type="dxa" w:w="1337"/>
          </w:tcPr>
          <w:p>
            <w:r>
              <w:t>17.1%</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11.82%</w:t>
            </w:r>
          </w:p>
        </w:tc>
        <w:tc>
          <w:tcPr>
            <w:tcW w:type="dxa" w:w="1337"/>
          </w:tcPr>
          <w:p>
            <w:r>
              <w:t>n/a</w:t>
            </w:r>
          </w:p>
        </w:tc>
      </w:tr>
      <w:tr>
        <w:tc>
          <w:tcPr>
            <w:tcW w:type="dxa" w:w="1337"/>
          </w:tcPr>
          <w:p>
            <w:r>
              <w:t>FY2025 (year to 2025-03-31)</w:t>
            </w:r>
          </w:p>
        </w:tc>
        <w:tc>
          <w:tcPr>
            <w:tcW w:type="dxa" w:w="1337"/>
          </w:tcPr>
          <w:p>
            <w:r>
              <w:t>4</w:t>
            </w:r>
          </w:p>
        </w:tc>
        <w:tc>
          <w:tcPr>
            <w:tcW w:type="dxa" w:w="1337"/>
          </w:tcPr>
          <w:p>
            <w:r>
              <w:t>10.07%</w:t>
            </w:r>
          </w:p>
        </w:tc>
        <w:tc>
          <w:tcPr>
            <w:tcW w:type="dxa" w:w="1337"/>
          </w:tcPr>
          <w:p>
            <w:r>
              <w:t>12.59%</w:t>
            </w:r>
          </w:p>
        </w:tc>
        <w:tc>
          <w:tcPr>
            <w:tcW w:type="dxa" w:w="1337"/>
          </w:tcPr>
          <w:p>
            <w:r>
              <w:t>10.76%</w:t>
            </w:r>
          </w:p>
        </w:tc>
        <w:tc>
          <w:tcPr>
            <w:tcW w:type="dxa" w:w="1337"/>
          </w:tcPr>
          <w:p>
            <w:r>
              <w:t>n/a</w:t>
            </w:r>
          </w:p>
        </w:tc>
        <w:tc>
          <w:tcPr>
            <w:tcW w:type="dxa" w:w="1337"/>
          </w:tcPr>
          <w:p>
            <w:r>
              <w:t>19.95%</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16.14%</w:t>
            </w:r>
          </w:p>
        </w:tc>
        <w:tc>
          <w:tcPr>
            <w:tcW w:type="dxa" w:w="1337"/>
          </w:tcPr>
          <w:p>
            <w:r>
              <w:t>n/a</w:t>
            </w:r>
          </w:p>
        </w:tc>
      </w:tr>
      <w:tr>
        <w:tc>
          <w:tcPr>
            <w:tcW w:type="dxa" w:w="1337"/>
          </w:tcPr>
          <w:p>
            <w:r>
              <w:t>FY2026 (year to 2026-03-31)</w:t>
            </w:r>
          </w:p>
        </w:tc>
        <w:tc>
          <w:tcPr>
            <w:tcW w:type="dxa" w:w="1337"/>
          </w:tcPr>
          <w:p>
            <w:r>
              <w:t>4</w:t>
            </w:r>
          </w:p>
        </w:tc>
        <w:tc>
          <w:tcPr>
            <w:tcW w:type="dxa" w:w="1337"/>
          </w:tcPr>
          <w:p>
            <w:r>
              <w:t>9.1%</w:t>
            </w:r>
          </w:p>
        </w:tc>
        <w:tc>
          <w:tcPr>
            <w:tcW w:type="dxa" w:w="1337"/>
          </w:tcPr>
          <w:p>
            <w:r>
              <w:t>14.6%</w:t>
            </w:r>
          </w:p>
        </w:tc>
        <w:tc>
          <w:tcPr>
            <w:tcW w:type="dxa" w:w="1337"/>
          </w:tcPr>
          <w:p>
            <w:r>
              <w:t>10.47%</w:t>
            </w:r>
          </w:p>
        </w:tc>
        <w:tc>
          <w:tcPr>
            <w:tcW w:type="dxa" w:w="1337"/>
          </w:tcPr>
          <w:p>
            <w:r>
              <w:t>n/a</w:t>
            </w:r>
          </w:p>
        </w:tc>
        <w:tc>
          <w:tcPr>
            <w:tcW w:type="dxa" w:w="1337"/>
          </w:tcPr>
          <w:p>
            <w:r>
              <w:t>9.58%</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proration or oversubscription event is disclosed in the on-disk documents, but the tendered-versus-accepted amounts per offer are not printed either. Completed-tender dollars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proration or oversubscription event is disclosed in the on-disk documents, but the tendered-versus-accepted amounts per offer are not printed either. Completed-tender dollars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Peer cohort placement</w:t>
      </w:r>
    </w:p>
    <w:p>
      <w:r>
        <w:t>Evidence depth tier: COHORT. Cohort: Evergreen private equity ('40-Act funds + '34-Act conglomerate) (n=5). Membership rationale: Evergreen PE (Pantheon) tender-offer LLC - wrapper and strategy twin of hl_paf/stepstone_spm.</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3,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(FYE 2026-03-31, filed 2026-06-09), Financial Highlights; N-2 filed 2026-07-30 (Prospectus dated 2026-07-31), Class 4 Financial Highlights</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1.2</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1.3</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1.4</w:t>
            </w:r>
          </w:p>
        </w:tc>
        <w:tc>
          <w:tcPr>
            <w:tcW w:type="dxa" w:w="3456"/>
          </w:tcPr>
          <w:p>
            <w:r>
              <w:t>N-CSR FY2026 (FYE 2026-03-31, filed 2026-06-09); N-2 filed 2026-07-30 (Class 4 highlights, DRIP default)</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1.8</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(filed 2026-06-09) performance table; N-2 filed 2026-07-30, Portfolio Management section</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1.12</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2.1</w:t>
            </w:r>
          </w:p>
        </w:tc>
        <w:tc>
          <w:tcPr>
            <w:tcW w:type="dxa" w:w="3456"/>
          </w:tcPr>
          <w:p>
            <w:r>
              <w:t>N-CSR FY2026 (filed 2026-06-09), Fund Note 2 and Master Fund Note 2; N-2 fee-table footnote (2)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 (matched by form only: the single such filing held)</w:t>
            </w:r>
          </w:p>
        </w:tc>
      </w:tr>
      <w:tr>
        <w:tc>
          <w:tcPr>
            <w:tcW w:type="dxa" w:w="720"/>
          </w:tcPr>
          <w:p>
            <w:r>
              <w:t>2.2</w:t>
            </w:r>
          </w:p>
        </w:tc>
        <w:tc>
          <w:tcPr>
            <w:tcW w:type="dxa" w:w="3456"/>
          </w:tcPr>
          <w:p>
            <w:r>
              <w:t>N-2 filed 2026-07-30 (Prospectus dated 2026-07-31), SUMMARY OF FUND EXPENSES + footnotes (5)/(6)</w:t>
            </w:r>
          </w:p>
        </w:tc>
        <w:tc>
          <w:tcPr>
            <w:tcW w:type="dxa" w:w="5184"/>
          </w:tcPr>
          <w:p>
            <w:r>
              <w:t>N-2 2026-07-30 accession 0000950130-26-000196 https://www.sec.gov/Archives/edgar/data/1609211/000095013026000196/d155376dn2.htm</w:t>
            </w:r>
          </w:p>
        </w:tc>
      </w:tr>
      <w:tr>
        <w:tc>
          <w:tcPr>
            <w:tcW w:type="dxa" w:w="720"/>
          </w:tcPr>
          <w:p>
            <w:r>
              <w:t>2.3</w:t>
            </w:r>
          </w:p>
        </w:tc>
        <w:tc>
          <w:tcPr>
            <w:tcW w:type="dxa" w:w="3456"/>
          </w:tcPr>
          <w:p>
            <w:r>
              <w:t>N-2 filed 2026-07-30, SUMMARY OF FUND EXPENSES; N-CSR FY2026 (filed 2026-06-09), Note 2 (Expense Cap) and Note 1c</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2.4</w:t>
            </w:r>
          </w:p>
        </w:tc>
        <w:tc>
          <w:tcPr>
            <w:tcW w:type="dxa" w:w="3456"/>
          </w:tcPr>
          <w:p>
            <w:r>
              <w:t>N-2 filed 2026-07-30 (Prospectus dated 2026-07-31), fee-table footnote (5) (Class 1) / (6) (Class 2-5)</w:t>
            </w:r>
          </w:p>
        </w:tc>
        <w:tc>
          <w:tcPr>
            <w:tcW w:type="dxa" w:w="5184"/>
          </w:tcPr>
          <w:p>
            <w:r>
              <w:t>N-2 2026-07-30 accession 0000950130-26-000196 https://www.sec.gov/Archives/edgar/data/1609211/000095013026000196/d155376dn2.htm</w:t>
            </w:r>
          </w:p>
        </w:tc>
      </w:tr>
      <w:tr>
        <w:tc>
          <w:tcPr>
            <w:tcW w:type="dxa" w:w="720"/>
          </w:tcPr>
          <w:p>
            <w:r>
              <w:t>2.5</w:t>
            </w:r>
          </w:p>
        </w:tc>
        <w:tc>
          <w:tcPr>
            <w:tcW w:type="dxa" w:w="3456"/>
          </w:tcPr>
          <w:p>
            <w:r>
              <w:t>N-2 filed 2026-07-30, fee-table footnote (5); N-CSR FY2026 (filed 2026-06-09), Master Fund SOI narrative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2.6</w:t>
            </w:r>
          </w:p>
        </w:tc>
        <w:tc>
          <w:tcPr>
            <w:tcW w:type="dxa" w:w="3456"/>
          </w:tcPr>
          <w:p>
            <w:r>
              <w:t>N-CSR FY2026 (filed 2026-06-09), Notes 1 and 2; N-2 filed 2026-07-30, Class 2-5 fee table footnote (1)</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2.7</w:t>
            </w:r>
          </w:p>
        </w:tc>
        <w:tc>
          <w:tcPr>
            <w:tcW w:type="dxa" w:w="3456"/>
          </w:tcPr>
          <w:p>
            <w:r>
              <w:t>N-CSR FY2026 (filed 2026-06-09), Note 1g Capital Stock; N-2 filed 2026-07-30, fee-table footnote (1)/(2)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N-2 filed 2026-07-30, Summary of Terms + REPURCHASES OF UNITS AND TRANSFERS; SC TO-I (filed 2026-08-03), Item 5(e)</w:t>
            </w:r>
          </w:p>
        </w:tc>
        <w:tc>
          <w:tcPr>
            <w:tcW w:type="dxa" w:w="5184"/>
          </w:tcPr>
          <w:p>
            <w:r>
              <w:t>N-2 2026-07-30 accession 0000950130-26-000196 https://www.sec.gov/Archives/edgar/data/1609211/000095013026000196/d155376dn2.htm</w:t>
            </w:r>
          </w:p>
          <w:p>
            <w:r>
              <w:t>SC TO-I 2026-08-03 accession 0001193125-26-329591 https://www.sec.gov/Archives/edgar/data/1609211/000119312526329591/d129441dsctoi.htm</w:t>
            </w:r>
          </w:p>
        </w:tc>
      </w:tr>
      <w:tr>
        <w:tc>
          <w:tcPr>
            <w:tcW w:type="dxa" w:w="720"/>
          </w:tcPr>
          <w:p>
            <w:r>
              <w:t>3.2</w:t>
            </w:r>
          </w:p>
        </w:tc>
        <w:tc>
          <w:tcPr>
            <w:tcW w:type="dxa" w:w="3456"/>
          </w:tcPr>
          <w:p>
            <w:r>
              <w:t>SC TO-I (filed 2026-08-03), Items 4-5; N-2 filed 2026-07-30, REPURCHASES OF UNITS AND TRANSFERS</w:t>
            </w:r>
          </w:p>
        </w:tc>
        <w:tc>
          <w:tcPr>
            <w:tcW w:type="dxa" w:w="5184"/>
          </w:tcPr>
          <w:p>
            <w:r>
              <w:t>SC TO-I 2026-08-03 accession 0001193125-26-329591 https://www.sec.gov/Archives/edgar/data/1609211/000119312526329591/d129441dsctoi.htm</w:t>
            </w:r>
          </w:p>
          <w:p>
            <w:r>
              <w:t>N-2 2026-07-30 accession 0000950130-26-000196 https://www.sec.gov/Archives/edgar/data/1609211/000095013026000196/d155376dn2.htm</w:t>
            </w:r>
          </w:p>
        </w:tc>
      </w:tr>
      <w:tr>
        <w:tc>
          <w:tcPr>
            <w:tcW w:type="dxa" w:w="720"/>
          </w:tcPr>
          <w:p>
            <w:r>
              <w:t>3.3</w:t>
            </w:r>
          </w:p>
        </w:tc>
        <w:tc>
          <w:tcPr>
            <w:tcW w:type="dxa" w:w="3456"/>
          </w:tcPr>
          <w:p>
            <w:r>
              <w:t>SC TO-I (filed 2026-08-03), Item 2(b); N-CSR FY2026 (filed 2026-06-09), Note 1g capital transactions + Statement of Assets and Liabilities</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3.4</w:t>
            </w:r>
          </w:p>
        </w:tc>
        <w:tc>
          <w:tcPr>
            <w:tcW w:type="dxa" w:w="3456"/>
          </w:tcPr>
          <w:p>
            <w:r>
              <w:t>N-CSR FY2026 (filed 2026-06-09), Master Fund Note 3 attributes table + Consolidated SOI</w:t>
            </w:r>
          </w:p>
        </w:tc>
        <w:tc>
          <w:tcPr>
            <w:tcW w:type="dxa" w:w="5184"/>
          </w:tcPr>
          <w:p>
            <w:r>
              <w:t>N-CSR 2026-06-09 accession 0001193125-26-264017 https://www.sec.gov/Archives/edgar/data/1609211/000119312526264017/d138225dncsr.htm</w:t>
            </w:r>
          </w:p>
        </w:tc>
      </w:tr>
      <w:tr>
        <w:tc>
          <w:tcPr>
            <w:tcW w:type="dxa" w:w="720"/>
          </w:tcPr>
          <w:p>
            <w:r>
              <w:t>3.6</w:t>
            </w:r>
          </w:p>
        </w:tc>
        <w:tc>
          <w:tcPr>
            <w:tcW w:type="dxa" w:w="3456"/>
          </w:tcPr>
          <w:p>
            <w:r>
              <w:t>N-CSR FY2026 (filed 2026-06-09), Master Fund Note 8 Credit Agreement + Consolidated Statement of Operations; N-2 filed 2026-07-30 (asset coverage)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(AMG Pantheon Fund,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(AMG Pantheon Fund, LLC, four reference plans)</w:t>
            </w:r>
          </w:p>
        </w:tc>
        <w:tc>
          <w:tcPr>
            <w:tcW w:type="dxa" w:w="5184"/>
          </w:tcPr>
          <w:p>
            <w:r>
              <w:t>accession not on record: no filing reference in the source field</w:t>
            </w:r>
          </w:p>
        </w:tc>
      </w:tr>
      <w:tr>
        <w:tc>
          <w:tcPr>
            <w:tcW w:type="dxa" w:w="720"/>
          </w:tcPr>
          <w:p>
            <w:r>
              <w:t>4.1</w:t>
            </w:r>
          </w:p>
        </w:tc>
        <w:tc>
          <w:tcPr>
            <w:tcW w:type="dxa" w:w="3456"/>
          </w:tcPr>
          <w:p>
            <w:r>
              <w:t>N-2 filed 2026-07-30, CALCULATION OF NET ASSET VALUE; N-CSR FY2026 (filed 2026-06-09), Master Fund Note 1a</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4.2</w:t>
            </w:r>
          </w:p>
        </w:tc>
        <w:tc>
          <w:tcPr>
            <w:tcW w:type="dxa" w:w="3456"/>
          </w:tcPr>
          <w:p>
            <w:r>
              <w:t>N-CSR FY2026 (filed 2026-06-09), Consolidated Schedule of Investments - hierarchy and L3 reconciliation tables</w:t>
            </w:r>
          </w:p>
        </w:tc>
        <w:tc>
          <w:tcPr>
            <w:tcW w:type="dxa" w:w="5184"/>
          </w:tcPr>
          <w:p>
            <w:r>
              <w:t>N-CSR 2026-06-09 accession 0001193125-26-264017 https://www.sec.gov/Archives/edgar/data/1609211/000119312526264017/d138225dncsr.htm</w:t>
            </w:r>
          </w:p>
        </w:tc>
      </w:tr>
      <w:tr>
        <w:tc>
          <w:tcPr>
            <w:tcW w:type="dxa" w:w="720"/>
          </w:tcPr>
          <w:p>
            <w:r>
              <w:t>4.3</w:t>
            </w:r>
          </w:p>
        </w:tc>
        <w:tc>
          <w:tcPr>
            <w:tcW w:type="dxa" w:w="3456"/>
          </w:tcPr>
          <w:p>
            <w:r>
              <w:t>N-CSR FY2026 (filed 2026-06-09), Master Fund Note 1a; N-2 filed 2026-07-30, Calculation of Net Asset Value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4.4</w:t>
            </w:r>
          </w:p>
        </w:tc>
        <w:tc>
          <w:tcPr>
            <w:tcW w:type="dxa" w:w="3456"/>
          </w:tcPr>
          <w:p>
            <w:r>
              <w:t>N-CSR FY2026 (filed 2026-06-09), Master Fund Note 1a + Level 3 quantitative inputs table</w:t>
            </w:r>
          </w:p>
        </w:tc>
        <w:tc>
          <w:tcPr>
            <w:tcW w:type="dxa" w:w="5184"/>
          </w:tcPr>
          <w:p>
            <w:r>
              <w:t>N-CSR 2026-06-09 accession 0001193125-26-264017 https://www.sec.gov/Archives/edgar/data/1609211/000119312526264017/d138225dncsr.htm</w:t>
            </w:r>
          </w:p>
        </w:tc>
      </w:tr>
      <w:tr>
        <w:tc>
          <w:tcPr>
            <w:tcW w:type="dxa" w:w="720"/>
          </w:tcPr>
          <w:p>
            <w:r>
              <w:t>4.5</w:t>
            </w:r>
          </w:p>
        </w:tc>
        <w:tc>
          <w:tcPr>
            <w:tcW w:type="dxa" w:w="3456"/>
          </w:tcPr>
          <w:p>
            <w:r>
              <w:t>N-CSR FY2026 (filed 2026-06-09), Report of Independent Registered Public Accounting Firm</w:t>
            </w:r>
          </w:p>
        </w:tc>
        <w:tc>
          <w:tcPr>
            <w:tcW w:type="dxa" w:w="5184"/>
          </w:tcPr>
          <w:p>
            <w:r>
              <w:t>N-CSR 2026-06-09 accession 0001193125-26-264017 https://www.sec.gov/Archives/edgar/data/1609211/000119312526264017/d138225dncsr.htm</w:t>
            </w:r>
          </w:p>
        </w:tc>
      </w:tr>
      <w:tr>
        <w:tc>
          <w:tcPr>
            <w:tcW w:type="dxa" w:w="720"/>
          </w:tcPr>
          <w:p>
            <w:r>
              <w:t>4.6</w:t>
            </w:r>
          </w:p>
        </w:tc>
        <w:tc>
          <w:tcPr>
            <w:tcW w:type="dxa" w:w="3456"/>
          </w:tcPr>
          <w:p>
            <w:r>
              <w:t>All four on-disk filings (searched 2026-08-15)</w:t>
            </w:r>
          </w:p>
        </w:tc>
        <w:tc>
          <w:tcPr>
            <w:tcW w:type="dxa" w:w="5184"/>
          </w:tcPr>
          <w:p>
            <w:r>
              <w:t>*, cited as all filings held for the product, 4 held:</w:t>
            </w:r>
          </w:p>
          <w:p>
            <w:r>
              <w:t>2025-08-01 accession 0001193125-25-170996 https://www.sec.gov/Archives/edgar/data/1609211/000119312525170996/d36907d424b3.htm</w:t>
            </w:r>
          </w:p>
          <w:p>
            <w:r>
              <w:t>2026-06-09 accession 0001193125-26-264017 https://www.sec.gov/Archives/edgar/data/1609211/000119312526264017/d138225dncsr.htm</w:t>
            </w:r>
          </w:p>
          <w:p>
            <w:r>
              <w:t>2026-07-30 accession 0000950130-26-000196 https://www.sec.gov/Archives/edgar/data/1609211/000095013026000196/d155376dn2.htm</w:t>
            </w:r>
          </w:p>
          <w:p>
            <w:r>
              <w:t>2026-08-03 accession 0001193125-26-329591 https://www.sec.gov/Archives/edgar/data/1609211/000119312526329591/d129441dsctoi.htm</w:t>
            </w:r>
          </w:p>
        </w:tc>
      </w:tr>
      <w:tr>
        <w:tc>
          <w:tcPr>
            <w:tcW w:type="dxa" w:w="720"/>
          </w:tcPr>
          <w:p>
            <w:r>
              <w:t>5.1</w:t>
            </w:r>
          </w:p>
        </w:tc>
        <w:tc>
          <w:tcPr>
            <w:tcW w:type="dxa" w:w="3456"/>
          </w:tcPr>
          <w:p>
            <w:r>
              <w:t>N-CSR FY2026 (filed 2026-06-09), Portfolio Manager's Comments</w:t>
            </w:r>
          </w:p>
        </w:tc>
        <w:tc>
          <w:tcPr>
            <w:tcW w:type="dxa" w:w="5184"/>
          </w:tcPr>
          <w:p>
            <w:r>
              <w:t>N-CSR 2026-06-09 accession 0001193125-26-264017 https://www.sec.gov/Archives/edgar/data/1609211/000119312526264017/d138225dncsr.htm</w:t>
            </w:r>
          </w:p>
        </w:tc>
      </w:tr>
      <w:tr>
        <w:tc>
          <w:tcPr>
            <w:tcW w:type="dxa" w:w="720"/>
          </w:tcPr>
          <w:p>
            <w:r>
              <w:t>5.3</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5.6</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2026-08-03), Item 2; N-CSR FY2026 (filed 2026-06-09), Note 1 and Master Note 1</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6.2</w:t>
            </w:r>
          </w:p>
        </w:tc>
        <w:tc>
          <w:tcPr>
            <w:tcW w:type="dxa" w:w="3456"/>
          </w:tcPr>
          <w:p>
            <w:r>
              <w:t>N-2 filed 2026-07-30, INVESTMENT PROGRAM - Investment Strategies; N-CSR FY2026 (filed 2026-06-09), Consolidated SOI + attributes table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6.3</w:t>
            </w:r>
          </w:p>
        </w:tc>
        <w:tc>
          <w:tcPr>
            <w:tcW w:type="dxa" w:w="3456"/>
          </w:tcPr>
          <w:p>
            <w:r>
              <w:t>N-2 filed 2026-07-30, CONFLICTS OF INTEREST + Affiliated Transactions; N-CSR FY2026 (filed 2026-06-09), Note 2</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6.4</w:t>
            </w:r>
          </w:p>
        </w:tc>
        <w:tc>
          <w:tcPr>
            <w:tcW w:type="dxa" w:w="3456"/>
          </w:tcPr>
          <w:p>
            <w:r>
              <w:t>N-CSR FY2026 (filed 2026-06-09), Other Tax Information (unaudited) + Note 1e Federal Taxes</w:t>
            </w:r>
          </w:p>
        </w:tc>
        <w:tc>
          <w:tcPr>
            <w:tcW w:type="dxa" w:w="5184"/>
          </w:tcPr>
          <w:p>
            <w:r>
              <w:t>N-CSR 2026-06-09 accession 0001193125-26-264017 https://www.sec.gov/Archives/edgar/data/1609211/000119312526264017/d138225dncsr.htm</w:t>
            </w:r>
          </w:p>
        </w:tc>
      </w:tr>
      <w:tr>
        <w:tc>
          <w:tcPr>
            <w:tcW w:type="dxa" w:w="720"/>
          </w:tcPr>
          <w:p>
            <w:r>
              <w:t>6.5</w:t>
            </w:r>
          </w:p>
        </w:tc>
        <w:tc>
          <w:tcPr>
            <w:tcW w:type="dxa" w:w="3456"/>
          </w:tcPr>
          <w:p>
            <w:r>
              <w:t>N-2 filed 2026-07-30 (Transfer Agent, sub-administrator); N-CSR FY2026 (filed 2026-06-09), Notes 1h/2 + Directors and Officers; SC TO-I (filed 2026-08-03)</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p>
            <w:r>
              <w:t>SC TO-I 2026-08-03 accession 0001193125-26-329591 https://www.sec.gov/Archives/edgar/data/1609211/000119312526329591/d129441dsctoi.htm</w:t>
            </w:r>
          </w:p>
        </w:tc>
      </w:tr>
    </w:tbl>
    <w:p>
      <w:r>
        <w:t>Data sources: SEC EDGAR filings (4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