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Designated Investment Alternative Evaluation: Decision Memo</w:t>
      </w:r>
    </w:p>
    <w:p>
      <w:r>
        <w:rPr>
          <w:b/>
        </w:rPr>
        <w:t>Plan: US casual-dining restaurant group 401(k) plan (~$1.6B, FL)</w:t>
        <w:br/>
      </w:r>
      <w:r>
        <w:t>Product: Ares Private Markets Fund (tender-offer fund ('40 Act), CIK 1876006)</w:t>
        <w:br/>
      </w:r>
      <w:r>
        <w:t>Date: 2026-09-04    Status: DRAFT (demo build). Cells marked extracted-unverified pend independent verification.</w:t>
      </w:r>
    </w:p>
    <w:p>
      <w:pPr>
        <w:pStyle w:val="Heading1"/>
      </w:pPr>
      <w:r>
        <w:t>Regulatory basis</w:t>
      </w:r>
    </w:p>
    <w:p>
      <w:r>
        <w:t>U.S. Department of Labor, Employee Benefits Security Administration, proposed rule Fiduciary Duties in Selecting Designated Investment Alternatives, 91 FR 16088 (Mar. 31, 2026), RIN 1210-AC38, proposed 29 CFR 2550.404a-6. Federal Register document 2026-06178, https://www.federalregister.gov/documents/2026/03/31/2026-06178/fiduciary-duties-in-selecting-designated-investment-alternatives. Docket EBSA-2026-0166, https://www.regulations.gov/docket/EBSA-2026-0166.</w:t>
      </w:r>
    </w:p>
    <w:p>
      <w:r>
        <w:t>This memo documents an evaluation of the product below as a candidate designated investment alternative for the plan named above, structured on the six factors of the proposed rule, paragraphs (g) to (l) of proposed 29 CFR 2550.404a-6: performance (g), fees and expenses (h), liquidity (i), valuation (j), performance benchmarks (k), complexity (l). The regulation is cited, not paraphrased. This memo and its underlying evidence files are the record of the evaluation.</w:t>
      </w:r>
    </w:p>
    <w:p>
      <w:r>
        <w:t>The benchmark section documents the selection AND the rejections: every candidate considered, its score, and the true reason it was or was not chosen. Case law is addressed in its own section below, from cell 5.7 only.</w:t>
      </w:r>
    </w:p>
    <w:p>
      <w:r>
        <w:t>Factor mapping basis: factor order per the 2026-09-03 audit's check of 91 FR 16088, paragraphs (g) to (l) of proposed 29 CFR 2550.404a-6, verbatim text in this build. The rule paragraph under each letter follows verbatim and the full text of paragraphs (g) to (l), examples included, is the appendix at the end of this memo. Cells 6.6 and 6.8 are advisor-completed under paragraph (l).</w:t>
      </w:r>
    </w:p>
    <w:p>
      <w:pPr>
        <w:pStyle w:val="IntenseQuote"/>
      </w:pPr>
      <w:r>
        <w:t>(g) Performance. The plan fiduciary must appropriately consider a reasonable number of similar alternatives and determine that the risk-adjusted expected returns, over an appropriate time-horizon, of the designated investment alternative, net of anticipated fees and expenses, further the purposes of the plan by enabling participants and beneficiaries to maximize risk-adjusted returns on investment net of fees and expenses.</w:t>
      </w:r>
    </w:p>
    <w:p>
      <w:pPr>
        <w:pStyle w:val="IntenseQuote"/>
      </w:pPr>
      <w:r>
        <w:t>(h) Fees. The plan fiduciary must consider a reasonable number of similar alternatives and determine that the fees and expenses of the designated investment alternative are appropriate, taking into account its risk-adjusted expected returns and any other value the designated investment alternative brings to furthering the purposes of the plan. For this purpose, the term “value” includes any benefits, features, or services other than risk-adjusted returns. Section 404(a)(1)(B) of ERISA and paragraph (h) of this section are not violated solely because the fiduciary does not select the alternative with the lowest fees and expenses from among the alternatives considered. For example, a prudent plan fiduciary could choose to pay more in exchange for greater services.</w:t>
      </w:r>
    </w:p>
    <w:p>
      <w:pPr>
        <w:pStyle w:val="IntenseQuote"/>
      </w:pPr>
      <w:r>
        <w:t>(i) Liquidity. The fiduciary must appropriately consider and determine that the designated investment alternative will have sufficient liquidity to meet the anticipated needs of the plan at both the plan and individual levels. For example, because participant-directed individual account plans are long-term retirement savings vehicles, particularly for participants early in their careers, there is no requirement that a fiduciary select only fully liquid products. Indeed, a prudent fiduciary process may regularly lead to a decision to sacrifice some plan- or individual-level liquidity, or both, in pursuit of additional risk-adjusted return.</w:t>
      </w:r>
    </w:p>
    <w:p>
      <w:pPr>
        <w:pStyle w:val="IntenseQuote"/>
      </w:pPr>
      <w:r>
        <w:t>(j) Valuation. The fiduciary must appropriately consider and determine that the designated investment alternative has adopted adequate measures to ensure that the designated investment alternative is capable of being timely and accurately valued in accordance with the needs of the plan.</w:t>
      </w:r>
    </w:p>
    <w:p>
      <w:pPr>
        <w:pStyle w:val="IntenseQuote"/>
      </w:pPr>
      <w:r>
        <w:t>(k) Performance benchmark. The plan fiduciary must appropriately consider and determine that each designated investment alternative has a meaningful benchmark, and compare the risk-adjusted expected returns of the designated investment alternative to the meaningful benchmark. There may be more than one meaningful benchmark for a designated investment alternative, however no single benchmark is a meaningful benchmark for all designated investment alternatives on a plan investment menu. A “meaningful benchmark” is an investment, strategy, index, or other comparator that has similar mandates, strategies, objectives, and risks to the designated investment alternative. The “risk-adjusted expected returns” of the designated investment alternative may be determined based on its historical performance unless it has none, in which case it may be determined based on the historical performance of a different investment with similar mandates, strategies, objectives, and risks and that is not the meaningful benchmark. While a plan fiduciary should identify benchmarks that are as meaningful as possible, there is no presumption or preference against new or innovative designated investment alternative designs. Instead, when considering a new or innovative product design, a fiduciary should seek to identify the best possible comparators to it while also scrutinizing the potential value proposition presented by the new or innovative design.</w:t>
      </w:r>
    </w:p>
    <w:p>
      <w:pPr>
        <w:pStyle w:val="IntenseQuote"/>
      </w:pPr>
      <w:r>
        <w:t>(l) Complexity. The plan fiduciary must appropriately consider the complexity of the designated investment alternative and determine that it has the skills, knowledge, experience, and capacity to comprehend it sufficiently to discharge its obligations under ERISA and the governing plan documents or whether it must seek assistance from a qualified investment advice fiduciary, investment manager, or other individual.</w:t>
      </w:r>
    </w:p>
    <w:p>
      <w:r>
        <w:t>Source: Federal Register document 2026-06178, fetched 2026-09-07T06:19:25+00:00, content hash aef7a94680824e55. Nothing in the quoted text is Tark's.</w:t>
      </w:r>
    </w:p>
    <w:p>
      <w:pPr>
        <w:pStyle w:val="Heading1"/>
      </w:pPr>
      <w:r>
        <w:t>Six-factor findings</w:t>
      </w:r>
    </w:p>
    <w:p>
      <w:r>
        <w:t>Per factor: the typed facts the engines read (each cites its cell), then the complete first sentence of every evidenced cell with its status, then the cells marked not applicable with the reason. The full sourced text, quote and document of every cell is in the evidence ledger and on the site's Evaluation view.</w:t>
      </w:r>
    </w:p>
    <w:tbl>
      <w:tblPr>
        <w:tblStyle w:val="TableGrid"/>
        <w:tblW w:type="auto" w:w="0"/>
        <w:tblLook w:firstColumn="1" w:firstRow="1" w:lastColumn="0" w:lastRow="0" w:noHBand="0" w:noVBand="1" w:val="04A0"/>
      </w:tblPr>
      <w:tblGrid>
        <w:gridCol w:w="4680"/>
        <w:gridCol w:w="4680"/>
      </w:tblGrid>
      <w:tr>
        <w:tc>
          <w:tcPr>
            <w:tcW w:type="dxa" w:w="1728"/>
          </w:tcPr>
          <w:p>
            <w:r>
              <w:t>Factor</w:t>
            </w:r>
          </w:p>
        </w:tc>
        <w:tc>
          <w:tcPr>
            <w:tcW w:type="dxa" w:w="7632"/>
          </w:tcPr>
          <w:p>
            <w:r>
              <w:t>Findings (cell, status, first sentence)</w:t>
            </w:r>
          </w:p>
        </w:tc>
      </w:tr>
      <w:tr>
        <w:tc>
          <w:tcPr>
            <w:tcW w:type="dxa" w:w="1728"/>
          </w:tcPr>
          <w:p>
            <w:r>
              <w:t>1. Performance (g)</w:t>
            </w:r>
          </w:p>
        </w:tc>
        <w:tc>
          <w:tcPr>
            <w:tcW w:type="dxa" w:w="7632"/>
          </w:tcPr>
          <w:p>
            <w:r>
              <w:t>Typed facts: 1.8 KS-PME 1.57 vs PSP (reference, not the benchmark). 1.11 inception 2022-04-01, 4 years.</w:t>
            </w:r>
          </w:p>
          <w:p>
            <w:r>
              <w:t>1.1 Net total return series (partial): PARTIAL: Class I (primary; inception 4/1/2022) NAV/share at fiscal year-end (March 31): FY2023 $26.93 / FY2024 $30.57 / FY2025 $36.12 / FY2026 $39.03, from $25.00 at commencement.</w:t>
            </w:r>
          </w:p>
          <w:p>
            <w:r>
              <w:t>1.2 Trailing &amp; calendar-year returns (extracted-unverified): Class I (primary) FY total returns: FY2026 9.58% / FY2025 19.95% / FY2024 17.10% / FY2023 9.27% (period 4/1/2022-3/31/2023).</w:t>
            </w:r>
          </w:p>
          <w:p>
            <w:r>
              <w:t>1.3 Gross vs net spread (extracted-unverified): No gross-vs-net PERFORMANCE spread is printed (returns are net-only).</w:t>
            </w:r>
          </w:p>
          <w:p>
            <w:r>
              <w:t>1.4 Distribution history &amp; composition (extracted-unverified): No managed-distribution policy: 'The Fund does not have a policy or practice of maintaining a specified level of distributions to shareholders' (FY2026 report); intends to distribute at least 90% of annual net taxable income (RIC).</w:t>
            </w:r>
          </w:p>
          <w:p>
            <w:r>
              <w:t>1.8 Risk-adjusted metrics (PME etc) (computed): Meaningful benchmark (paragraph (k)), Cambridge Associates US PE benchmark scored 9/12: no comparison computed (cited, series not in the record: no comparison computed).</w:t>
            </w:r>
          </w:p>
          <w:p>
            <w:r>
              <w:t>1.9 Stress-window performance (computed): Stress observation from the printed fiscal-year returns on record.</w:t>
            </w:r>
          </w:p>
          <w:p>
            <w:r>
              <w:t>1.11 Track record &amp; manager tenure (extracted-unverified): Fund organized as a Delaware statutory trust July 28, 2021; commenced operations April 1, 2022 - about 4 years of track record at the FY2026 report.</w:t>
            </w:r>
          </w:p>
          <w:p>
            <w:r>
              <w:t>1.12 Peer comparison (paragraphs (g) and (h)) (computed): Peer comparison (paragraphs (g) and (h)): evergreen private equity cohort, peers Hamilton Lane Private Assets Fund, StepStone Private Markets, KKR Private Equity Conglomerate LLC, AMG Pantheon Fund, LLC, fund return basis filed fiscal-year returns.</w:t>
            </w:r>
          </w:p>
          <w:p>
            <w:r>
              <w:t>Not applicable: 1.5 underlying Portfolio Fund/GP-level returns are LP-only reporting; filings disclose holdings at fair value (see 3.4/SOI), not underlying fund IRRs. 1.6 sub-annual return series not free-public for this wrapper. 1.7 sub-annual return series not free-public for this wrapper. 1.10 listed-CEF only.</w:t>
            </w:r>
          </w:p>
        </w:tc>
      </w:tr>
      <w:tr>
        <w:tc>
          <w:tcPr>
            <w:tcW w:type="dxa" w:w="1728"/>
          </w:tcPr>
          <w:p>
            <w:r>
              <w:t>2. Fees (h)</w:t>
            </w:r>
          </w:p>
        </w:tc>
        <w:tc>
          <w:tcPr>
            <w:tcW w:type="dxa" w:w="7632"/>
          </w:tcPr>
          <w:p>
            <w:r>
              <w:t>Typed facts: 2.1 1.40% on managed assets (leverage-inclusive). 2.2 incentive fee: 12.5%. 2.3 5.02% expense ratio, gross, before a 0.03% waiver, including the 1.60% incentive-fee drag, AFFE excluded (FY2026, Class I). 2.4 AFFE 1.00%. 2.7 early repurchase fee: 2% &lt; 1 year.</w:t>
            </w:r>
          </w:p>
          <w:p>
            <w:r>
              <w:t>2.1 Management fee (rate AND base) (extracted-unverified): 1.40% annualized on MANAGED ASSETS - a leverage-inclusive base: total assets (including assets attributable to borrowings/indebtedness/preferred) minus liabilities OTHER than borrowing-related liabilities - calculated and accrued monthly as of the last business day of each month, paid quarterly in arrears within 5 business days of quarter NAV computation; base computed before Advisory/Incentive Fee accrual and share transactions.</w:t>
            </w:r>
          </w:p>
          <w:p>
            <w:r>
              <w:t>2.2 Incentive fee terms (extracted-unverified): Incentive Fee: 12.5% of the positive difference between quarterly net profits and the then-balance of the Loss Recovery Account (memorandum account, initial balance zero; increased each quarter by net losses, decreased not below zero by net profits) - a fund-level loss-carryforward/high-water mechanism with NO preferred-return hurdle.</w:t>
            </w:r>
          </w:p>
          <w:p>
            <w:r>
              <w:t>2.3 Total expense ratio &amp; waivers (extracted-unverified): FY2026 ratios to average net assets: gross 5.02% I / 5.21% D / 5.85% A; net after waivers 4.99% / 5.18% / 5.82% (include incentive-fee drag 1.60/1.58/1.59% and interest expense; EXCLUDE underlying Portfolio Fund income/expenses).</w:t>
            </w:r>
          </w:p>
          <w:p>
            <w:r>
              <w:t>2.4 AFFE (extracted-unverified): AFFE line in the current (2026) fee table: 1.00% for each class (A/D/I), of net assets.</w:t>
            </w:r>
          </w:p>
          <w:p>
            <w:r>
              <w:t>2.5 Underlying GP economics (extracted-unverified): Printed underlying Portfolio Fund economics (2026 fee-table fn (6)): asset-based management fees generally 1.00% to 2.50%, plus performance compensation of up to 30% of net profits as carried interest; Portfolio Funds 'will generally be subject to a carried interest clawback.' Carry accrues at each Portfolio Fund irrespective of overall Fund performance (netting risk inherent to fund-of-funds).</w:t>
            </w:r>
          </w:p>
          <w:p>
            <w:r>
              <w:t>2.6 Loads &amp; servicing fees (extracted-unverified): Sales load: Class A maximum 3.50% of purchase amount (public offering price = NAV plus up to 3.50% charge); Class D and Class I: none (Class D may face selling-agent/intermediary transaction fees).</w:t>
            </w:r>
          </w:p>
          <w:p>
            <w:r>
              <w:t>2.7 Early repurchase fee (extracted-unverified): 2.00% of NAV early repurchase fee on any repurchase of Shares before the day immediately preceding the one-year anniversary of purchase; FIFO ordering ('first in-first out', SC TO-I); applies to all three classes (fee-table row: 2.00% A/D/I).</w:t>
            </w:r>
          </w:p>
          <w:p>
            <w:r>
              <w:t>2.9 Fee peer percentile (computed): Cohort placement (evergreen private equity cohort): mgmt fee: 50th percentile of cohort (n=5), at the median of 1.4 | expense ratio (bases differ, see notes): 90th percentile of cohort (n=5), above the median of 3.19 | repurchase cap: 50th percentile of cohort (n=5), at the median of 5.</w:t>
            </w:r>
          </w:p>
          <w:p>
            <w:r>
              <w:t>Not applicable: 2.8 CIT only. 2.10 requires the plan committee's own value-for-fees determination - workflow output, not public product data (inputs live in cells 2.1-2.9).</w:t>
            </w:r>
          </w:p>
        </w:tc>
      </w:tr>
      <w:tr>
        <w:tc>
          <w:tcPr>
            <w:tcW w:type="dxa" w:w="1728"/>
          </w:tcPr>
          <w:p>
            <w:r>
              <w:t>3. Liquidity (i)</w:t>
            </w:r>
          </w:p>
        </w:tc>
        <w:tc>
          <w:tcPr>
            <w:tcW w:type="dxa" w:w="7632"/>
          </w:tcPr>
          <w:p>
            <w:r>
              <w:t>Typed facts: 3.1 quarterly dealing, 5% cap per quarter on net assets. 3.9 structural verdict partial, plan-independent.</w:t>
            </w:r>
          </w:p>
          <w:p>
            <w:r>
              <w:t>3.1 Wrapper liquidity terms (extracted-unverified): Discretionary quarterly tender offers under Rule 13e-4 - NOT an interval fund: the 2026 486BPOS facing sheet checks 'Registered Closed-End Fund' and leaves the 'Interval Fund (...Rule 23c-3...)' box UNCHECKED.</w:t>
            </w:r>
          </w:p>
          <w:p>
            <w:r>
              <w:t>3.2 Repurchase mechanics (extracted-unverified): Q2-2026 offer mechanics (SC TO-I filed 2026-06-01; Rule 13e-4 issuer tender, all three classes): SIZE up to ~5.00% of net assets (~$215,844,245.85 as of 4/30/2026).</w:t>
            </w:r>
          </w:p>
          <w:p>
            <w:r>
              <w:t>3.3 Repurchase history (extracted-unverified): N-CSR Note 7: four repurchase offers conducted in EACH of FY2026 and FY2025 - 6,433,068 Shares repurchased for $244,528,497 (FY2026) vs 2,378,429 Shares for $82,331,350 (FY2025), a ~3x year-over-year jump in dollars.</w:t>
            </w:r>
          </w:p>
          <w:p>
            <w:r>
              <w:t>3.4 Portfolio liquidity profile (extracted-unverified): As of 3/31/2026: net assets $4,123,522,171.</w:t>
            </w:r>
          </w:p>
          <w:p>
            <w:r>
              <w:t>3.6 Fund leverage &amp; facilities (extracted-unverified): Revolving Credit Facility with an 8-lender syndicate (Barclays Bank PLC, UBS AG, Mizuho Bank, Royal Bank of Canada, Mitsubishi UJF Trust and Banking Corporation [as spelled in the filing], Canadian Imperial Bank of Commerce, MUFG Bank, BNP Paribas SA): maximum permitted borrowings $1,700,000,000 (amended six times up from a printed original limit of $1,000,000), maturity March 5, 2027; rate SOFR+2.80% (or SONIA+2.92%) plus usage-dependent commitment fee; secured by assets of subsidiary Ares Landmark Private Markets Fund-D LLC; purpose: working capital/liquidity including warehouse financing of acquisitions.</w:t>
            </w:r>
          </w:p>
          <w:p>
            <w:r>
              <w:t>3.7 Plan participant liquidity demand (computed, this plan): Plan-side demand profile for this plan (Form 5500, plan year 2024-05-01 to 2025-04-30): 12,176 separated participants with balances = 28.2% of 43,129 accounts (the near-term liquidity tail), 197,946 active, 4 retirees in pay status, filed outflow proxy 10.75% of beginning net assets (Schedule H totals).</w:t>
            </w:r>
          </w:p>
          <w:p>
            <w:r>
              <w:t>3.8 Redemption stress test (computed, this plan): ILLUSTRATIVE redemption stress test for this plan: filed outflow proxy 10.75% of the position, slider assumption 9.2%, stressed demand 18.2% vs 20% annual wrapper capacity, within wrapper capacity (18.2% vs 20%) IF offers are not prorated. Source: this plan's liquidity match.</w:t>
            </w:r>
          </w:p>
          <w:p>
            <w:r>
              <w:t>3.9 Product-to-plan liquidity match (computed, this plan): Structural liquidity verdict PARTIAL (typed facts, plan-independent). Scenario verdict under this plan (ILLUSTRATIVE): CONDITIONAL. Source: this plan's liquidity match.</w:t>
            </w:r>
          </w:p>
          <w:p>
            <w:r>
              <w:t>Not applicable: 3.5 CIT only.</w:t>
            </w:r>
          </w:p>
        </w:tc>
      </w:tr>
      <w:tr>
        <w:tc>
          <w:tcPr>
            <w:tcW w:type="dxa" w:w="1728"/>
          </w:tcPr>
          <w:p>
            <w:r>
              <w:t>4. Valuation (j)</w:t>
            </w:r>
          </w:p>
        </w:tc>
        <w:tc>
          <w:tcPr>
            <w:tcW w:type="dxa" w:w="7632"/>
          </w:tcPr>
          <w:p>
            <w:r>
              <w:t>Typed facts: 4.5 Ernst &amp; Young LLP (Big 4).</w:t>
            </w:r>
          </w:p>
          <w:p>
            <w:r>
              <w:t>4.1 Valuation policy &amp; NAV frequency (extracted-unverified): NAV frequency MONTHLY: each class as of close of business on the last business day of each calendar month, plus each repurchase date, any distribution date, and other Board-determined dates (each a 'Determination Date'); class NAVs calculated separately.</w:t>
            </w:r>
          </w:p>
          <w:p>
            <w:r>
              <w:t>4.2 Fair-value hierarchy (L1/2/3) (extracted-unverified): ASC 820-10 hierarchy at 3/31/2026: Level 1 $78,702,565 (all Short-Term Investments); Level 2 $0; Level 3 $194,007,718 (Direct Investments/Co-Investments $11,328,814 + Secondary Investments $182,678,904); total investments IN the hierarchy $272,710,283.</w:t>
            </w:r>
          </w:p>
          <w:p>
            <w:r>
              <w:t>4.3 Independent valuation agent (extracted-unverified): An independent third-party valuation service IS engaged, but its printed scope is narrow: it reviews 'the application of the market adjustment factor and certain idiosyncratic valuation adjustments' - it does not independently value the holdings, and the firm is NOT NAMED anywhere on disk (searched all four documents for Houlihan/Duff/Kroll/Lincoln International/Murray Devine/Valuation Research/Alvarez/Stout: zero hits, 2026-08-15).</w:t>
            </w:r>
          </w:p>
          <w:p>
            <w:r>
              <w:t>4.4 Methodology by asset type (extracted-unverified): By asset type: (1) PORTFOLIO FUNDS (Secondary + Primary; ~123% of net assets) - NAV practical expedient on latest manager/GP-reported NAV, adjusted for capital activity/events; (2) DIRECT/CO-INVESTMENTS and other Level 3 - EV analysis (market multiples applied to EBITDA or revenue from comparable transactions/companies; or DCF at market-consistent discount rates) plus yield analysis for non-control debt; (3) overlay: proprietary MAC-event market adjustment factor triggered by &gt;10% S&amp;P 500 monthly moves, plus idiosyncratic adjustments (IPO, bankruptcy, M&amp;A); (4) LIQUID ASSETS - independent third-party pricing services/broker quotes; exchange securities at last sale; &lt;=60-day paper at amortized cost; money funds at NAV.</w:t>
            </w:r>
          </w:p>
          <w:p>
            <w:r>
              <w:t>4.5 Auditor &amp; opinion (extracted-unverified): Ernst &amp; Young LLP (Big-4).</w:t>
            </w:r>
          </w:p>
          <w:p>
            <w:r>
              <w:t>4.6 NAV restatement history (extracted-unverified): None identified: searched all four on-disk ares_pmf documents (N-CSR filed 2026-06-04, 486BPOS 2026-07-29, SC TO-I 2026-06-01, 424B3 2026-06-04) for 'restat' / 'error correction' / 'reprocess' on 2026-08-15; zero NAV-restatement or error-correction hits.</w:t>
            </w:r>
          </w:p>
          <w:p>
            <w:r>
              <w:t>Not applicable: 4.7 no market price for a non-listed NAV-transaction wrapper. 4.8 sub-annual return series not free-public for this wrapper. 4.9 CIT only.</w:t>
            </w:r>
          </w:p>
        </w:tc>
      </w:tr>
      <w:tr>
        <w:tc>
          <w:tcPr>
            <w:tcW w:type="dxa" w:w="1728"/>
          </w:tcPr>
          <w:p>
            <w:r>
              <w:t>5. Performance Benchmarks (k)</w:t>
            </w:r>
          </w:p>
        </w:tc>
        <w:tc>
          <w:tcPr>
            <w:tcW w:type="dxa" w:w="7632"/>
          </w:tcPr>
          <w:p>
            <w:r>
              <w:t>Typed facts: 5.3 Cambridge PE benchmark selected, 9/12.</w:t>
            </w:r>
          </w:p>
          <w:p>
            <w:r>
              <w:t>5.1 Self-declared benchmark (extracted-unverified): Broad-based comparison index in the FY2026 shareholder report: MSCI World Index - printed as a row in the Average Annual Total Returns table (1yr 18.90% / 3yr 16.77% / 10.28% since 4/1/2022, footnoted that 4/1/2022 is not the index's inception) and as the comparator in the $1,000,000 Class I growth chart ('a free float-adjusted market capitalization weighted index... 23 developed market country indices').</w:t>
            </w:r>
          </w:p>
          <w:p>
            <w:r>
              <w:t>5.3 Alt asset-class indices (computed): Candidates evaluated for the meaningful-benchmark slot, paragraph (k) (Tark benchmark rubric, 12 points, threshold 7 of 12, strategy gate below 2 of 3 ineligible, an index published by the fund's own adviser ineligible).</w:t>
            </w:r>
          </w:p>
          <w:p>
            <w:r>
              <w:t>5.4 Peer universe &amp; returns (computed): Peer cohort: evergreen private equity cohort (n=5: Hamilton Lane Private Assets Fund, StepStone Private Markets, KKR Private Equity Conglomerate LLC, Ares Private Markets Fund, AMG Pantheon Fund, LLC).</w:t>
            </w:r>
          </w:p>
          <w:p>
            <w:r>
              <w:t>5.5 PME / Direct Alpha inputs (computed): PME inputs (computed, public market series Listed private equity investable proxy (PSP), reference comparison, not the meaningful benchmark): window 2022-04-01 to 2026-03-31 (series comparison).</w:t>
            </w:r>
          </w:p>
          <w:p>
            <w:r>
              <w:t>5.6 Benchmark suitability memo (computed): Benchmark suitability (Tark benchmark rubric, 12 points).</w:t>
            </w:r>
          </w:p>
          <w:p>
            <w:r>
              <w:t>5.7 Case-law tracker (partial): Anderson v. Intel Corp. Investment Policy Committee, No. 25-498 (U.S.).</w:t>
            </w:r>
          </w:p>
        </w:tc>
      </w:tr>
      <w:tr>
        <w:tc>
          <w:tcPr>
            <w:tcW w:type="dxa" w:w="1728"/>
          </w:tcPr>
          <w:p>
            <w:r>
              <w:t>6. Complexity (l)</w:t>
            </w:r>
          </w:p>
        </w:tc>
        <w:tc>
          <w:tcPr>
            <w:tcW w:type="dxa" w:w="7632"/>
          </w:tcPr>
          <w:p>
            <w:r>
              <w:t>Typed facts: 6.1 tender-offer fund. 6.4 Form 1099.</w:t>
            </w:r>
          </w:p>
          <w:p>
            <w:r>
              <w:t>6.1 Structure map (extracted-unverified): Legal form: Delaware statutory trust (organized 7/28/2021), registered closed-end, non-diversified management investment company; RIC under Subchapter M with tax year end September 30 (fiscal year end March 31).</w:t>
            </w:r>
          </w:p>
          <w:p>
            <w:r>
              <w:t>6.2 Strategy &amp; instrument complexity (extracted-unverified): Secondaries-led evergreen private equity fund of funds.</w:t>
            </w:r>
          </w:p>
          <w:p>
            <w:r>
              <w:t>6.3 Conflicts &amp; affiliated transactions (extracted-unverified): 486BPOS POTENTIAL CONFLICTS OF INTEREST section: Adviser is a fiduciary, but purchasing Shares deems each shareholder to have acknowledged and WAIVED claims on disclosed actual/potential conflicts; overlapping Other Managed Accounts may reduce opportunities; time-allocation conflicts.</w:t>
            </w:r>
          </w:p>
          <w:p>
            <w:r>
              <w:t>6.4 Tax reporting (1099 vs K-1) (extracted-unverified): Form 1099-DIV: each year a statement identifying the amount and character (ordinary income, qualified dividend income, long-term capital gain) of distributions is mailed to shareholders (Fund is a RIC under Subchapter M; tax year end Sept 30).</w:t>
            </w:r>
          </w:p>
          <w:p>
            <w:r>
              <w:t>6.5 Service-provider web (extracted-unverified): Per FY2026 N-CSR Note 4 and SC TO-I: Investment Adviser - Ares Capital Management II LLC, 245 Park Avenue, 44th Floor, New York, NY (wholly owned subsidiary of Ares Management Corporation).</w:t>
            </w:r>
          </w:p>
          <w:p>
            <w:r>
              <w:t>Not applicable: 6.6 requires plan-specific recordkeeper/trading integration facts - workflow cell completed per plan engagement, not public product data. 6.7 requires plan-committee participant-communication assessment - workflow cell; product-side inputs already evidenced in 6.1/6.2/6.4. 6.8 workflow, not data.</w:t>
            </w:r>
          </w:p>
        </w:tc>
      </w:tr>
    </w:tbl>
    <w:p>
      <w:pPr>
        <w:pStyle w:val="Heading1"/>
      </w:pPr>
      <w:r>
        <w:t>Benchmark selection and justification</w:t>
      </w:r>
    </w:p>
    <w:p>
      <w:r>
        <w:t>Return basis for every comparison in this section: filed fiscal-year returns.</w:t>
      </w:r>
    </w:p>
    <w:p>
      <w:pPr>
        <w:pStyle w:val="Heading2"/>
      </w:pPr>
      <w:r>
        <w:t>Meaningful benchmark (paragraph (k)): Cambridge Associates US PE benchmark (score 9/12)</w:t>
      </w:r>
    </w:p>
    <w:p>
      <w:r>
        <w:t>Comparison not computed: cited, series not in the record: no comparison computed. The candidate is selected on its own descriptors. No number is substituted.</w:t>
      </w:r>
    </w:p>
    <w:p>
      <w:pPr>
        <w:pStyle w:val="ListBullet"/>
      </w:pPr>
      <w:r>
        <w:t>strategy_match 3/3: a private-market index of private equity for a evergreen private equity fund</w:t>
      </w:r>
    </w:p>
    <w:p>
      <w:pPr>
        <w:pStyle w:val="ListBullet"/>
      </w:pPr>
      <w:r>
        <w:t>risk_liquidity_match 2/3: appraisal-based index without a dealing mechanism of its own against a NAV fund (quarterly dealing at NAV under 5% cap per quarter): the pricing process matches, the liquidity terms cannot</w:t>
      </w:r>
    </w:p>
    <w:p>
      <w:pPr>
        <w:pStyle w:val="ListBullet"/>
      </w:pPr>
      <w:r>
        <w:t>provider_independence 2/2: provider unaffiliated with the fund (Cambridge Associates): the registry affiliation map ties it to none of the fund's advisers</w:t>
      </w:r>
    </w:p>
    <w:p>
      <w:pPr>
        <w:pStyle w:val="ListBullet"/>
      </w:pPr>
      <w:r>
        <w:t>data_held 0/2: licensed series not held (no subscription): the candidate is cited, not computed</w:t>
      </w:r>
    </w:p>
    <w:p>
      <w:pPr>
        <w:pStyle w:val="ListBullet"/>
      </w:pPr>
      <w:r>
        <w:t>pricing_basis_match 2/2: both appraisal-based NAV series</w:t>
      </w:r>
    </w:p>
    <w:p>
      <w:pPr>
        <w:pStyle w:val="Heading2"/>
      </w:pPr>
      <w:r>
        <w:t>Reference comparison, not the meaningful benchmark: Listed private equity investable proxy (PSP)</w:t>
      </w:r>
    </w:p>
    <w:p>
      <w:r>
        <w:t>Reference comparison on the highest-ranked held public market series: not the meaningful benchmark.</w:t>
      </w:r>
    </w:p>
    <w:p>
      <w:r>
        <w:t>Window 2022-04-01 to 2026-03-31: fund 13.89%/yr (filed fiscal-year returns) vs the public series 1.72%/yr, KS-PME 1.5712, Direct Alpha 11.97%/yr. Disclosure: PME and alpha computed on appraisal-lagged NAVs are window-sensitive and can be smoothing-flattered. Conclusions should be read with the methodology's window-sensitivity analysis.</w:t>
      </w:r>
    </w:p>
    <w:p>
      <w:r>
        <w:t>Two-point comparison: one contribution at the window start and one valuation at the end. Direct Alpha is the annualized form of the same two flows.</w:t>
      </w:r>
    </w:p>
    <w:p>
      <w:pPr>
        <w:pStyle w:val="Heading2"/>
      </w:pPr>
      <w:r>
        <w:t>Declared benchmark and SEC-required comparators (cell 5.1)</w:t>
      </w:r>
    </w:p>
    <w:p>
      <w:r>
        <w:t>SEC-required comparator: MSCI World Index, held, scored 7/12, fails the strategy gate (strategy_match 1/3). The declaration itself earns no points.</w:t>
      </w:r>
    </w:p>
    <w:p>
      <w:r>
        <w:t>Window 2022-04-01 to 2026-03-31: fund 13.89%/yr (filed fiscal-year returns) vs MSCI World Index 10.5%/yr, KS-PME 1.1283, Direct Alpha 3.07%/yr. Disclosure: PME and alpha computed on appraisal-lagged NAVs are window-sensitive and can be smoothing-flattered. Conclusions should be read with the methodology's window-sensitivity analysis.</w:t>
      </w:r>
    </w:p>
    <w:p>
      <w:r>
        <w:t>Two-point comparison: one contribution at the window start and one valuation at the end. Direct Alpha is the annualized form of the same two flows.</w:t>
      </w:r>
    </w:p>
    <w:p>
      <w:r>
        <w:t>Declared benchmark: none. cell 5.1: broad-based comparison index of the shareholder report's required presentation, no benchmark the fund is managed to.</w:t>
      </w:r>
    </w:p>
    <w:p>
      <w:pPr>
        <w:pStyle w:val="Heading2"/>
      </w:pPr>
      <w:r>
        <w:t>Peer comparison (paragraphs (g) and (h)): evergreen private equity cohort</w:t>
      </w:r>
    </w:p>
    <w:p>
      <w:r>
        <w:t>Peers: Hamilton Lane Private Assets Fund, StepStone Private Markets, KKR Private Equity Conglomerate LLC, AMG Pantheon Fund, LLC. This is the history of similar investments, not the benchmark, and it is never a public market equivalent.</w:t>
      </w:r>
    </w:p>
    <w:p>
      <w:r>
        <w:t>Composite refused: members report on different year ends and no member has a series that builds a common calendar period (Hamilton Lane Private Assets Fund fiscal years to month 03, StepStone Private Markets fiscal years to month 03, KKR Private Equity Conglomerate LLC calendar years, AMG Pantheon Fund, LLC fiscal years to month 03, Ares Private Markets Fund fiscal years to month 03). A composite needs identical start and end dates for every member. The side-by-side table is shown without a ratio.</w:t>
      </w:r>
    </w:p>
    <w:tbl>
      <w:tblPr>
        <w:tblStyle w:val="TableGrid"/>
        <w:tblW w:type="auto" w:w="0"/>
        <w:tblLook w:firstColumn="1" w:firstRow="1" w:lastColumn="0" w:lastRow="0" w:noHBand="0" w:noVBand="1" w:val="04A0"/>
      </w:tblPr>
      <w:tblGrid>
        <w:gridCol w:w="1337"/>
        <w:gridCol w:w="1337"/>
        <w:gridCol w:w="1337"/>
        <w:gridCol w:w="1337"/>
        <w:gridCol w:w="1337"/>
        <w:gridCol w:w="1337"/>
        <w:gridCol w:w="1337"/>
      </w:tblGrid>
      <w:tr>
        <w:tc>
          <w:tcPr>
            <w:tcW w:type="dxa" w:w="1337"/>
          </w:tcPr>
          <w:p>
            <w:r>
              <w:t>Period</w:t>
            </w:r>
          </w:p>
        </w:tc>
        <w:tc>
          <w:tcPr>
            <w:tcW w:type="dxa" w:w="1337"/>
          </w:tcPr>
          <w:p>
            <w:r>
              <w:t>n</w:t>
            </w:r>
          </w:p>
        </w:tc>
        <w:tc>
          <w:tcPr>
            <w:tcW w:type="dxa" w:w="1337"/>
          </w:tcPr>
          <w:p>
            <w:r>
              <w:t>Ares Private Markets Fund</w:t>
            </w:r>
          </w:p>
        </w:tc>
        <w:tc>
          <w:tcPr>
            <w:tcW w:type="dxa" w:w="1337"/>
          </w:tcPr>
          <w:p>
            <w:r>
              <w:t>Hamilton Lane Private Assets Fund</w:t>
            </w:r>
          </w:p>
        </w:tc>
        <w:tc>
          <w:tcPr>
            <w:tcW w:type="dxa" w:w="1337"/>
          </w:tcPr>
          <w:p>
            <w:r>
              <w:t>StepStone Private Markets</w:t>
            </w:r>
          </w:p>
        </w:tc>
        <w:tc>
          <w:tcPr>
            <w:tcW w:type="dxa" w:w="1337"/>
          </w:tcPr>
          <w:p>
            <w:r>
              <w:t>KKR Private Equity Conglomerate LLC</w:t>
            </w:r>
          </w:p>
        </w:tc>
        <w:tc>
          <w:tcPr>
            <w:tcW w:type="dxa" w:w="1337"/>
          </w:tcPr>
          <w:p>
            <w:r>
              <w:t>AMG Pantheon Fund, LLC</w:t>
            </w:r>
          </w:p>
        </w:tc>
      </w:tr>
      <w:tr>
        <w:tc>
          <w:tcPr>
            <w:tcW w:type="dxa" w:w="1337"/>
          </w:tcPr>
          <w:p>
            <w:r>
              <w:t>FY2017 (year to 2017-03-31)</w:t>
            </w:r>
          </w:p>
        </w:tc>
        <w:tc>
          <w:tcPr>
            <w:tcW w:type="dxa" w:w="1337"/>
          </w:tcPr>
          <w:p>
            <w:r>
              <w:t>1</w:t>
            </w:r>
          </w:p>
        </w:tc>
        <w:tc>
          <w:tcPr>
            <w:tcW w:type="dxa" w:w="1337"/>
          </w:tcPr>
          <w:p>
            <w:r>
              <w:t>n/a</w:t>
            </w:r>
          </w:p>
        </w:tc>
        <w:tc>
          <w:tcPr>
            <w:tcW w:type="dxa" w:w="1337"/>
          </w:tcPr>
          <w:p>
            <w:r>
              <w:t>n/a</w:t>
            </w:r>
          </w:p>
        </w:tc>
        <w:tc>
          <w:tcPr>
            <w:tcW w:type="dxa" w:w="1337"/>
          </w:tcPr>
          <w:p>
            <w:r>
              <w:t>n/a</w:t>
            </w:r>
          </w:p>
        </w:tc>
        <w:tc>
          <w:tcPr>
            <w:tcW w:type="dxa" w:w="1337"/>
          </w:tcPr>
          <w:p>
            <w:r>
              <w:t>n/a</w:t>
            </w:r>
          </w:p>
        </w:tc>
        <w:tc>
          <w:tcPr>
            <w:tcW w:type="dxa" w:w="1337"/>
          </w:tcPr>
          <w:p>
            <w:r>
              <w:t>14.27%</w:t>
            </w:r>
          </w:p>
        </w:tc>
      </w:tr>
      <w:tr>
        <w:tc>
          <w:tcPr>
            <w:tcW w:type="dxa" w:w="1337"/>
          </w:tcPr>
          <w:p>
            <w:r>
              <w:t>FY2018 (year to 2018-03-31)</w:t>
            </w:r>
          </w:p>
        </w:tc>
        <w:tc>
          <w:tcPr>
            <w:tcW w:type="dxa" w:w="1337"/>
          </w:tcPr>
          <w:p>
            <w:r>
              <w:t>1</w:t>
            </w:r>
          </w:p>
        </w:tc>
        <w:tc>
          <w:tcPr>
            <w:tcW w:type="dxa" w:w="1337"/>
          </w:tcPr>
          <w:p>
            <w:r>
              <w:t>n/a</w:t>
            </w:r>
          </w:p>
        </w:tc>
        <w:tc>
          <w:tcPr>
            <w:tcW w:type="dxa" w:w="1337"/>
          </w:tcPr>
          <w:p>
            <w:r>
              <w:t>n/a</w:t>
            </w:r>
          </w:p>
        </w:tc>
        <w:tc>
          <w:tcPr>
            <w:tcW w:type="dxa" w:w="1337"/>
          </w:tcPr>
          <w:p>
            <w:r>
              <w:t>n/a</w:t>
            </w:r>
          </w:p>
        </w:tc>
        <w:tc>
          <w:tcPr>
            <w:tcW w:type="dxa" w:w="1337"/>
          </w:tcPr>
          <w:p>
            <w:r>
              <w:t>n/a</w:t>
            </w:r>
          </w:p>
        </w:tc>
        <w:tc>
          <w:tcPr>
            <w:tcW w:type="dxa" w:w="1337"/>
          </w:tcPr>
          <w:p>
            <w:r>
              <w:t>14.26%</w:t>
            </w:r>
          </w:p>
        </w:tc>
      </w:tr>
      <w:tr>
        <w:tc>
          <w:tcPr>
            <w:tcW w:type="dxa" w:w="1337"/>
          </w:tcPr>
          <w:p>
            <w:r>
              <w:t>FY2019 (year to 2019-03-31)</w:t>
            </w:r>
          </w:p>
        </w:tc>
        <w:tc>
          <w:tcPr>
            <w:tcW w:type="dxa" w:w="1337"/>
          </w:tcPr>
          <w:p>
            <w:r>
              <w:t>1</w:t>
            </w:r>
          </w:p>
        </w:tc>
        <w:tc>
          <w:tcPr>
            <w:tcW w:type="dxa" w:w="1337"/>
          </w:tcPr>
          <w:p>
            <w:r>
              <w:t>n/a</w:t>
            </w:r>
          </w:p>
        </w:tc>
        <w:tc>
          <w:tcPr>
            <w:tcW w:type="dxa" w:w="1337"/>
          </w:tcPr>
          <w:p>
            <w:r>
              <w:t>n/a</w:t>
            </w:r>
          </w:p>
        </w:tc>
        <w:tc>
          <w:tcPr>
            <w:tcW w:type="dxa" w:w="1337"/>
          </w:tcPr>
          <w:p>
            <w:r>
              <w:t>n/a</w:t>
            </w:r>
          </w:p>
        </w:tc>
        <w:tc>
          <w:tcPr>
            <w:tcW w:type="dxa" w:w="1337"/>
          </w:tcPr>
          <w:p>
            <w:r>
              <w:t>n/a</w:t>
            </w:r>
          </w:p>
        </w:tc>
        <w:tc>
          <w:tcPr>
            <w:tcW w:type="dxa" w:w="1337"/>
          </w:tcPr>
          <w:p>
            <w:r>
              <w:t>10.11%</w:t>
            </w:r>
          </w:p>
        </w:tc>
      </w:tr>
      <w:tr>
        <w:tc>
          <w:tcPr>
            <w:tcW w:type="dxa" w:w="1337"/>
          </w:tcPr>
          <w:p>
            <w:r>
              <w:t>FY2020 (year to 2020-03-31)</w:t>
            </w:r>
          </w:p>
        </w:tc>
        <w:tc>
          <w:tcPr>
            <w:tcW w:type="dxa" w:w="1337"/>
          </w:tcPr>
          <w:p>
            <w:r>
              <w:t>1</w:t>
            </w:r>
          </w:p>
        </w:tc>
        <w:tc>
          <w:tcPr>
            <w:tcW w:type="dxa" w:w="1337"/>
          </w:tcPr>
          <w:p>
            <w:r>
              <w:t>n/a</w:t>
            </w:r>
          </w:p>
        </w:tc>
        <w:tc>
          <w:tcPr>
            <w:tcW w:type="dxa" w:w="1337"/>
          </w:tcPr>
          <w:p>
            <w:r>
              <w:t>n/a</w:t>
            </w:r>
          </w:p>
        </w:tc>
        <w:tc>
          <w:tcPr>
            <w:tcW w:type="dxa" w:w="1337"/>
          </w:tcPr>
          <w:p>
            <w:r>
              <w:t>n/a</w:t>
            </w:r>
          </w:p>
        </w:tc>
        <w:tc>
          <w:tcPr>
            <w:tcW w:type="dxa" w:w="1337"/>
          </w:tcPr>
          <w:p>
            <w:r>
              <w:t>n/a</w:t>
            </w:r>
          </w:p>
        </w:tc>
        <w:tc>
          <w:tcPr>
            <w:tcW w:type="dxa" w:w="1337"/>
          </w:tcPr>
          <w:p>
            <w:r>
              <w:t>4.15%</w:t>
            </w:r>
          </w:p>
        </w:tc>
      </w:tr>
      <w:tr>
        <w:tc>
          <w:tcPr>
            <w:tcW w:type="dxa" w:w="1337"/>
          </w:tcPr>
          <w:p>
            <w:r>
              <w:t>FY2021 (year to 2021-03-31)</w:t>
            </w:r>
          </w:p>
        </w:tc>
        <w:tc>
          <w:tcPr>
            <w:tcW w:type="dxa" w:w="1337"/>
          </w:tcPr>
          <w:p>
            <w:r>
              <w:t>1</w:t>
            </w:r>
          </w:p>
        </w:tc>
        <w:tc>
          <w:tcPr>
            <w:tcW w:type="dxa" w:w="1337"/>
          </w:tcPr>
          <w:p>
            <w:r>
              <w:t>n/a</w:t>
            </w:r>
          </w:p>
        </w:tc>
        <w:tc>
          <w:tcPr>
            <w:tcW w:type="dxa" w:w="1337"/>
          </w:tcPr>
          <w:p>
            <w:r>
              <w:t>n/a</w:t>
            </w:r>
          </w:p>
        </w:tc>
        <w:tc>
          <w:tcPr>
            <w:tcW w:type="dxa" w:w="1337"/>
          </w:tcPr>
          <w:p>
            <w:r>
              <w:t>n/a</w:t>
            </w:r>
          </w:p>
        </w:tc>
        <w:tc>
          <w:tcPr>
            <w:tcW w:type="dxa" w:w="1337"/>
          </w:tcPr>
          <w:p>
            <w:r>
              <w:t>n/a</w:t>
            </w:r>
          </w:p>
        </w:tc>
        <w:tc>
          <w:tcPr>
            <w:tcW w:type="dxa" w:w="1337"/>
          </w:tcPr>
          <w:p>
            <w:r>
              <w:t>35.72%</w:t>
            </w:r>
          </w:p>
        </w:tc>
      </w:tr>
      <w:tr>
        <w:tc>
          <w:tcPr>
            <w:tcW w:type="dxa" w:w="1337"/>
          </w:tcPr>
          <w:p>
            <w:r>
              <w:t>FY2022 (year to 2022-03-31)</w:t>
            </w:r>
          </w:p>
        </w:tc>
        <w:tc>
          <w:tcPr>
            <w:tcW w:type="dxa" w:w="1337"/>
          </w:tcPr>
          <w:p>
            <w:r>
              <w:t>3</w:t>
            </w:r>
          </w:p>
        </w:tc>
        <w:tc>
          <w:tcPr>
            <w:tcW w:type="dxa" w:w="1337"/>
          </w:tcPr>
          <w:p>
            <w:r>
              <w:t>n/a</w:t>
            </w:r>
          </w:p>
        </w:tc>
        <w:tc>
          <w:tcPr>
            <w:tcW w:type="dxa" w:w="1337"/>
          </w:tcPr>
          <w:p>
            <w:r>
              <w:t>20.77%</w:t>
            </w:r>
          </w:p>
        </w:tc>
        <w:tc>
          <w:tcPr>
            <w:tcW w:type="dxa" w:w="1337"/>
          </w:tcPr>
          <w:p>
            <w:r>
              <w:t>29.43%</w:t>
            </w:r>
          </w:p>
        </w:tc>
        <w:tc>
          <w:tcPr>
            <w:tcW w:type="dxa" w:w="1337"/>
          </w:tcPr>
          <w:p>
            <w:r>
              <w:t>n/a</w:t>
            </w:r>
          </w:p>
        </w:tc>
        <w:tc>
          <w:tcPr>
            <w:tcW w:type="dxa" w:w="1337"/>
          </w:tcPr>
          <w:p>
            <w:r>
              <w:t>18.36%</w:t>
            </w:r>
          </w:p>
        </w:tc>
      </w:tr>
      <w:tr>
        <w:tc>
          <w:tcPr>
            <w:tcW w:type="dxa" w:w="1337"/>
          </w:tcPr>
          <w:p>
            <w:r>
              <w:t>FY2023 (year to 2023-03-31)</w:t>
            </w:r>
          </w:p>
        </w:tc>
        <w:tc>
          <w:tcPr>
            <w:tcW w:type="dxa" w:w="1337"/>
          </w:tcPr>
          <w:p>
            <w:r>
              <w:t>4</w:t>
            </w:r>
          </w:p>
        </w:tc>
        <w:tc>
          <w:tcPr>
            <w:tcW w:type="dxa" w:w="1337"/>
          </w:tcPr>
          <w:p>
            <w:r>
              <w:t>9.27%</w:t>
            </w:r>
          </w:p>
        </w:tc>
        <w:tc>
          <w:tcPr>
            <w:tcW w:type="dxa" w:w="1337"/>
          </w:tcPr>
          <w:p>
            <w:r>
              <w:t>16.1%</w:t>
            </w:r>
          </w:p>
        </w:tc>
        <w:tc>
          <w:tcPr>
            <w:tcW w:type="dxa" w:w="1337"/>
          </w:tcPr>
          <w:p>
            <w:r>
              <w:t>8.23%</w:t>
            </w:r>
          </w:p>
        </w:tc>
        <w:tc>
          <w:tcPr>
            <w:tcW w:type="dxa" w:w="1337"/>
          </w:tcPr>
          <w:p>
            <w:r>
              <w:t>n/a</w:t>
            </w:r>
          </w:p>
        </w:tc>
        <w:tc>
          <w:tcPr>
            <w:tcW w:type="dxa" w:w="1337"/>
          </w:tcPr>
          <w:p>
            <w:r>
              <w:t>6.45%</w:t>
            </w:r>
          </w:p>
        </w:tc>
      </w:tr>
      <w:tr>
        <w:tc>
          <w:tcPr>
            <w:tcW w:type="dxa" w:w="1337"/>
          </w:tcPr>
          <w:p>
            <w:r>
              <w:t>FY2024 (year to 2024-03-31)</w:t>
            </w:r>
          </w:p>
        </w:tc>
        <w:tc>
          <w:tcPr>
            <w:tcW w:type="dxa" w:w="1337"/>
          </w:tcPr>
          <w:p>
            <w:r>
              <w:t>4</w:t>
            </w:r>
          </w:p>
        </w:tc>
        <w:tc>
          <w:tcPr>
            <w:tcW w:type="dxa" w:w="1337"/>
          </w:tcPr>
          <w:p>
            <w:r>
              <w:t>17.1%</w:t>
            </w:r>
          </w:p>
        </w:tc>
        <w:tc>
          <w:tcPr>
            <w:tcW w:type="dxa" w:w="1337"/>
          </w:tcPr>
          <w:p>
            <w:r>
              <w:t>12.68%</w:t>
            </w:r>
          </w:p>
        </w:tc>
        <w:tc>
          <w:tcPr>
            <w:tcW w:type="dxa" w:w="1337"/>
          </w:tcPr>
          <w:p>
            <w:r>
              <w:t>13.79%</w:t>
            </w:r>
          </w:p>
        </w:tc>
        <w:tc>
          <w:tcPr>
            <w:tcW w:type="dxa" w:w="1337"/>
          </w:tcPr>
          <w:p>
            <w:r>
              <w:t>n/a</w:t>
            </w:r>
          </w:p>
        </w:tc>
        <w:tc>
          <w:tcPr>
            <w:tcW w:type="dxa" w:w="1337"/>
          </w:tcPr>
          <w:p>
            <w:r>
              <w:t>12.08%</w:t>
            </w:r>
          </w:p>
        </w:tc>
      </w:tr>
      <w:tr>
        <w:tc>
          <w:tcPr>
            <w:tcW w:type="dxa" w:w="1337"/>
          </w:tcPr>
          <w:p>
            <w:r>
              <w:t>2024</w:t>
            </w:r>
          </w:p>
        </w:tc>
        <w:tc>
          <w:tcPr>
            <w:tcW w:type="dxa" w:w="1337"/>
          </w:tcPr>
          <w:p>
            <w:r>
              <w:t>1</w:t>
            </w:r>
          </w:p>
        </w:tc>
        <w:tc>
          <w:tcPr>
            <w:tcW w:type="dxa" w:w="1337"/>
          </w:tcPr>
          <w:p>
            <w:r>
              <w:t>n/a</w:t>
            </w:r>
          </w:p>
        </w:tc>
        <w:tc>
          <w:tcPr>
            <w:tcW w:type="dxa" w:w="1337"/>
          </w:tcPr>
          <w:p>
            <w:r>
              <w:t>n/a</w:t>
            </w:r>
          </w:p>
        </w:tc>
        <w:tc>
          <w:tcPr>
            <w:tcW w:type="dxa" w:w="1337"/>
          </w:tcPr>
          <w:p>
            <w:r>
              <w:t>n/a</w:t>
            </w:r>
          </w:p>
        </w:tc>
        <w:tc>
          <w:tcPr>
            <w:tcW w:type="dxa" w:w="1337"/>
          </w:tcPr>
          <w:p>
            <w:r>
              <w:t>11.82%</w:t>
            </w:r>
          </w:p>
        </w:tc>
        <w:tc>
          <w:tcPr>
            <w:tcW w:type="dxa" w:w="1337"/>
          </w:tcPr>
          <w:p>
            <w:r>
              <w:t>n/a</w:t>
            </w:r>
          </w:p>
        </w:tc>
      </w:tr>
      <w:tr>
        <w:tc>
          <w:tcPr>
            <w:tcW w:type="dxa" w:w="1337"/>
          </w:tcPr>
          <w:p>
            <w:r>
              <w:t>FY2025 (year to 2025-03-31)</w:t>
            </w:r>
          </w:p>
        </w:tc>
        <w:tc>
          <w:tcPr>
            <w:tcW w:type="dxa" w:w="1337"/>
          </w:tcPr>
          <w:p>
            <w:r>
              <w:t>4</w:t>
            </w:r>
          </w:p>
        </w:tc>
        <w:tc>
          <w:tcPr>
            <w:tcW w:type="dxa" w:w="1337"/>
          </w:tcPr>
          <w:p>
            <w:r>
              <w:t>19.95%</w:t>
            </w:r>
          </w:p>
        </w:tc>
        <w:tc>
          <w:tcPr>
            <w:tcW w:type="dxa" w:w="1337"/>
          </w:tcPr>
          <w:p>
            <w:r>
              <w:t>12.59%</w:t>
            </w:r>
          </w:p>
        </w:tc>
        <w:tc>
          <w:tcPr>
            <w:tcW w:type="dxa" w:w="1337"/>
          </w:tcPr>
          <w:p>
            <w:r>
              <w:t>10.76%</w:t>
            </w:r>
          </w:p>
        </w:tc>
        <w:tc>
          <w:tcPr>
            <w:tcW w:type="dxa" w:w="1337"/>
          </w:tcPr>
          <w:p>
            <w:r>
              <w:t>n/a</w:t>
            </w:r>
          </w:p>
        </w:tc>
        <w:tc>
          <w:tcPr>
            <w:tcW w:type="dxa" w:w="1337"/>
          </w:tcPr>
          <w:p>
            <w:r>
              <w:t>10.07%</w:t>
            </w:r>
          </w:p>
        </w:tc>
      </w:tr>
      <w:tr>
        <w:tc>
          <w:tcPr>
            <w:tcW w:type="dxa" w:w="1337"/>
          </w:tcPr>
          <w:p>
            <w:r>
              <w:t>2025</w:t>
            </w:r>
          </w:p>
        </w:tc>
        <w:tc>
          <w:tcPr>
            <w:tcW w:type="dxa" w:w="1337"/>
          </w:tcPr>
          <w:p>
            <w:r>
              <w:t>1</w:t>
            </w:r>
          </w:p>
        </w:tc>
        <w:tc>
          <w:tcPr>
            <w:tcW w:type="dxa" w:w="1337"/>
          </w:tcPr>
          <w:p>
            <w:r>
              <w:t>n/a</w:t>
            </w:r>
          </w:p>
        </w:tc>
        <w:tc>
          <w:tcPr>
            <w:tcW w:type="dxa" w:w="1337"/>
          </w:tcPr>
          <w:p>
            <w:r>
              <w:t>n/a</w:t>
            </w:r>
          </w:p>
        </w:tc>
        <w:tc>
          <w:tcPr>
            <w:tcW w:type="dxa" w:w="1337"/>
          </w:tcPr>
          <w:p>
            <w:r>
              <w:t>n/a</w:t>
            </w:r>
          </w:p>
        </w:tc>
        <w:tc>
          <w:tcPr>
            <w:tcW w:type="dxa" w:w="1337"/>
          </w:tcPr>
          <w:p>
            <w:r>
              <w:t>16.14%</w:t>
            </w:r>
          </w:p>
        </w:tc>
        <w:tc>
          <w:tcPr>
            <w:tcW w:type="dxa" w:w="1337"/>
          </w:tcPr>
          <w:p>
            <w:r>
              <w:t>n/a</w:t>
            </w:r>
          </w:p>
        </w:tc>
      </w:tr>
      <w:tr>
        <w:tc>
          <w:tcPr>
            <w:tcW w:type="dxa" w:w="1337"/>
          </w:tcPr>
          <w:p>
            <w:r>
              <w:t>FY2026 (year to 2026-03-31)</w:t>
            </w:r>
          </w:p>
        </w:tc>
        <w:tc>
          <w:tcPr>
            <w:tcW w:type="dxa" w:w="1337"/>
          </w:tcPr>
          <w:p>
            <w:r>
              <w:t>4</w:t>
            </w:r>
          </w:p>
        </w:tc>
        <w:tc>
          <w:tcPr>
            <w:tcW w:type="dxa" w:w="1337"/>
          </w:tcPr>
          <w:p>
            <w:r>
              <w:t>9.58%</w:t>
            </w:r>
          </w:p>
        </w:tc>
        <w:tc>
          <w:tcPr>
            <w:tcW w:type="dxa" w:w="1337"/>
          </w:tcPr>
          <w:p>
            <w:r>
              <w:t>14.6%</w:t>
            </w:r>
          </w:p>
        </w:tc>
        <w:tc>
          <w:tcPr>
            <w:tcW w:type="dxa" w:w="1337"/>
          </w:tcPr>
          <w:p>
            <w:r>
              <w:t>10.47%</w:t>
            </w:r>
          </w:p>
        </w:tc>
        <w:tc>
          <w:tcPr>
            <w:tcW w:type="dxa" w:w="1337"/>
          </w:tcPr>
          <w:p>
            <w:r>
              <w:t>n/a</w:t>
            </w:r>
          </w:p>
        </w:tc>
        <w:tc>
          <w:tcPr>
            <w:tcW w:type="dxa" w:w="1337"/>
          </w:tcPr>
          <w:p>
            <w:r>
              <w:t>9.1%</w:t>
            </w:r>
          </w:p>
        </w:tc>
      </w:tr>
    </w:tbl>
    <w:p>
      <w:r>
        <w:t>The cohort is the roster's 5 surviving, still-filing products. Funds that closed, merged, or stopped filing are not in it, so any composite carries survivorship bias in the fund's favor. Membership rationales and exclusions are in the roster record.</w:t>
      </w:r>
    </w:p>
    <w:p>
      <w:r>
        <w:t>Members span 2 wrapper types (non-traded LLC ('34 Act), tender-offer fund) and 2 leverage regimes (1940-Act asset-coverage limits, no 1940-Act leverage limits (34-Act conglomerate)). Fee bases, leverage and exit rights are not like-for-like, so the comparison is a history of similar investments, not a like-for-like index.</w:t>
      </w:r>
    </w:p>
    <w:p>
      <w:pPr>
        <w:pStyle w:val="Heading2"/>
      </w:pPr>
      <w:r>
        <w:t>Rejection log (candidates considered and not selected)</w:t>
      </w:r>
    </w:p>
    <w:tbl>
      <w:tblPr>
        <w:tblStyle w:val="TableGrid"/>
        <w:tblW w:type="auto" w:w="0"/>
        <w:tblLook w:firstColumn="1" w:firstRow="1" w:lastColumn="0" w:lastRow="0" w:noHBand="0" w:noVBand="1" w:val="04A0"/>
      </w:tblPr>
      <w:tblGrid>
        <w:gridCol w:w="3120"/>
        <w:gridCol w:w="3120"/>
        <w:gridCol w:w="3120"/>
      </w:tblGrid>
      <w:tr>
        <w:tc>
          <w:tcPr>
            <w:tcW w:type="dxa" w:w="2880"/>
          </w:tcPr>
          <w:p>
            <w:r>
              <w:t>Candidate</w:t>
            </w:r>
          </w:p>
        </w:tc>
        <w:tc>
          <w:tcPr>
            <w:tcW w:type="dxa" w:w="1008"/>
          </w:tcPr>
          <w:p>
            <w:r>
              <w:t>Score</w:t>
            </w:r>
          </w:p>
        </w:tc>
        <w:tc>
          <w:tcPr>
            <w:tcW w:type="dxa" w:w="5472"/>
          </w:tcPr>
          <w:p>
            <w:r>
              <w:t>Reason and criteria</w:t>
            </w:r>
          </w:p>
        </w:tc>
      </w:tr>
      <w:tr>
        <w:tc>
          <w:tcPr>
            <w:tcW w:type="dxa" w:w="2880"/>
          </w:tcPr>
          <w:p>
            <w:r>
              <w:t>Listed private equity investable proxy (PSP)</w:t>
            </w:r>
          </w:p>
        </w:tc>
        <w:tc>
          <w:tcPr>
            <w:tcW w:type="dxa" w:w="1008"/>
          </w:tcPr>
          <w:p>
            <w:r>
              <w:t>8/12</w:t>
            </w:r>
          </w:p>
        </w:tc>
        <w:tc>
          <w:tcPr>
            <w:tcW w:type="dxa" w:w="5472"/>
          </w:tcPr>
          <w:p>
            <w:r>
              <w:t>ranked below the selected candidate: 8/12 vs 9/12 for Cambridge PE benchmark Criteria: strategy_match 2/3: the public-market version of the asset class (listed private equity for evergreen private equity), risk_liquidity_match 1/3: daily-liquid market series against a semi-liquid NAV fund (quarterly dealing at NAV under 5% cap per quarter): volatility and liquidity regimes differ, the PME construct exists for exactly this comparison, provider_independence 2/2: provider unaffiliated with the fund (Invesco / Red Rocks): the registry affiliation map ties it to none of the fund's advisers, data_held 2/2: daily public market series held (exchange-traded proxy, Yahoo adjusted close), pricing_basis_match 1/2: a market-priced series standing in for an appraisal-based fund: comparable only through a PME, which is window-sensitive on appraisal-lagged NAVs.</w:t>
            </w:r>
          </w:p>
        </w:tc>
      </w:tr>
      <w:tr>
        <w:tc>
          <w:tcPr>
            <w:tcW w:type="dxa" w:w="2880"/>
          </w:tcPr>
          <w:p>
            <w:r>
              <w:t>MSCI World investable proxy (URTH)</w:t>
            </w:r>
          </w:p>
        </w:tc>
        <w:tc>
          <w:tcPr>
            <w:tcW w:type="dxa" w:w="1008"/>
          </w:tcPr>
          <w:p>
            <w:r>
              <w:t>7/12</w:t>
            </w:r>
          </w:p>
        </w:tc>
        <w:tc>
          <w:tcPr>
            <w:tcW w:type="dxa" w:w="5472"/>
          </w:tcPr>
          <w:p>
            <w:r>
              <w:t>rejected: strategy gate (score 7/12 but strategy_match 1/3) Criteria: strategy_match 1/3: adjacent asset class sharing the dominant risk (global equity for evergreen private equity), risk_liquidity_match 1/3: daily-liquid market series against a semi-liquid NAV fund (quarterly dealing at NAV under 5% cap per quarter): volatility and liquidity regimes differ, the PME construct exists for exactly this comparison, provider_independence 2/2: provider unaffiliated with the fund (iShares / MSCI): the registry affiliation map ties it to none of the fund's advisers, data_held 2/2: daily public market series held (exchange-traded proxy, Yahoo adjusted close), pricing_basis_match 1/2: a market-priced series standing in for an appraisal-based fund: comparable only through a PME, which is window-sensitive on appraisal-lagged NAVs.</w:t>
            </w:r>
          </w:p>
        </w:tc>
      </w:tr>
    </w:tbl>
    <w:p>
      <w:pPr>
        <w:pStyle w:val="Heading1"/>
      </w:pPr>
      <w:r>
        <w:t>Product-to-plan liquidity match</w:t>
      </w:r>
    </w:p>
    <w:p>
      <w:r>
        <w:t>Plan: US casual-dining restaurant group 401(k) plan (~$1.6B, FL). verdict is structural (typed facts, cells 3.1, 3.3, 2.7, plan-independent). scenario_verdict is ILLUSTRATIVE (the plan's filed outflow proxy as the base demand and the sliders as the stress, against the same capacity, per plan).</w:t>
      </w:r>
    </w:p>
    <w:p>
      <w:pPr>
        <w:pStyle w:val="Heading2"/>
      </w:pPr>
      <w:r>
        <w:t>Structural verdict (typed facts, plan-independent)</w:t>
      </w:r>
    </w:p>
    <w:p>
      <w:r>
        <w:t>PARTIAL</w:t>
      </w:r>
    </w:p>
    <w:p>
      <w:pPr>
        <w:pStyle w:val="ListBullet"/>
      </w:pPr>
      <w:r>
        <w:t>STRUCTURAL GAP: a participant-directed 404(c) menu assumes daily pricing and daily participant liquidity, whereas this wrapper deals quarterly with a 5% cap per quarter on net assets. Direct DIA use requires a bridging structure: CIT sleeve, managed account, or TDF sleeve (cell 3.5).</w:t>
      </w:r>
    </w:p>
    <w:p>
      <w:pPr>
        <w:pStyle w:val="ListBullet"/>
      </w:pPr>
      <w:r>
        <w:t>Facts missing for a structural verdict: gate_history (tendered-versus-accepted amounts and proration incidence per offer are not printed (final tender amendments not on disk). Four offers in each of FY2025 and FY2026 establish continuity, not full fills (R2-P1-12 rule)). The verdict stays partial until they are typed from the filings.</w:t>
      </w:r>
    </w:p>
    <w:p>
      <w:pPr>
        <w:pStyle w:val="ListBullet"/>
      </w:pPr>
      <w:r>
        <w:t>Early repurchase economics: 2% if held &lt; 1 year (2.7). Relevant to participant-level churn (2.7).</w:t>
      </w:r>
    </w:p>
    <w:tbl>
      <w:tblPr>
        <w:tblStyle w:val="TableGrid"/>
        <w:tblW w:type="auto" w:w="0"/>
        <w:tblLook w:firstColumn="1" w:firstRow="1" w:lastColumn="0" w:lastRow="0" w:noHBand="0" w:noVBand="1" w:val="04A0"/>
      </w:tblPr>
      <w:tblGrid>
        <w:gridCol w:w="3120"/>
        <w:gridCol w:w="3120"/>
        <w:gridCol w:w="3120"/>
      </w:tblGrid>
      <w:tr>
        <w:tc>
          <w:tcPr>
            <w:tcW w:type="dxa" w:w="2448"/>
          </w:tcPr>
          <w:p>
            <w:r>
              <w:t>Wrapper fact</w:t>
            </w:r>
          </w:p>
        </w:tc>
        <w:tc>
          <w:tcPr>
            <w:tcW w:type="dxa" w:w="5760"/>
          </w:tcPr>
          <w:p>
            <w:r>
              <w:t>Value</w:t>
            </w:r>
          </w:p>
        </w:tc>
        <w:tc>
          <w:tcPr>
            <w:tcW w:type="dxa" w:w="1152"/>
          </w:tcPr>
          <w:p>
            <w:r>
              <w:t>Cell</w:t>
            </w:r>
          </w:p>
        </w:tc>
      </w:tr>
      <w:tr>
        <w:tc>
          <w:tcPr>
            <w:tcW w:type="dxa" w:w="2448"/>
          </w:tcPr>
          <w:p>
            <w:r>
              <w:t>Wrapper</w:t>
            </w:r>
          </w:p>
        </w:tc>
        <w:tc>
          <w:tcPr>
            <w:tcW w:type="dxa" w:w="5760"/>
          </w:tcPr>
          <w:p>
            <w:r>
              <w:t>tender-offer fund</w:t>
            </w:r>
          </w:p>
        </w:tc>
        <w:tc>
          <w:tcPr>
            <w:tcW w:type="dxa" w:w="1152"/>
          </w:tcPr>
          <w:p>
            <w:r>
              <w:t>6.1</w:t>
            </w:r>
          </w:p>
        </w:tc>
      </w:tr>
      <w:tr>
        <w:tc>
          <w:tcPr>
            <w:tcW w:type="dxa" w:w="2448"/>
          </w:tcPr>
          <w:p>
            <w:r>
              <w:t>Dealing terms</w:t>
            </w:r>
          </w:p>
        </w:tc>
        <w:tc>
          <w:tcPr>
            <w:tcW w:type="dxa" w:w="5760"/>
          </w:tcPr>
          <w:p>
            <w:r>
              <w:t>quarterly offers, 5% cap per quarter on net assets</w:t>
            </w:r>
          </w:p>
        </w:tc>
        <w:tc>
          <w:tcPr>
            <w:tcW w:type="dxa" w:w="1152"/>
          </w:tcPr>
          <w:p>
            <w:r>
              <w:t>3.1</w:t>
            </w:r>
          </w:p>
        </w:tc>
      </w:tr>
      <w:tr>
        <w:tc>
          <w:tcPr>
            <w:tcW w:type="dxa" w:w="2448"/>
          </w:tcPr>
          <w:p>
            <w:r>
              <w:t>Repurchase caps</w:t>
            </w:r>
          </w:p>
        </w:tc>
        <w:tc>
          <w:tcPr>
            <w:tcW w:type="dxa" w:w="5760"/>
          </w:tcPr>
          <w:p>
            <w:r>
              <w:t>5% per quarter, 20% per year</w:t>
            </w:r>
          </w:p>
        </w:tc>
        <w:tc>
          <w:tcPr>
            <w:tcW w:type="dxa" w:w="1152"/>
          </w:tcPr>
          <w:p>
            <w:r>
              <w:t>3.1</w:t>
            </w:r>
          </w:p>
        </w:tc>
      </w:tr>
      <w:tr>
        <w:tc>
          <w:tcPr>
            <w:tcW w:type="dxa" w:w="2448"/>
          </w:tcPr>
          <w:p>
            <w:r>
              <w:t>Annual capacity (binding cap)</w:t>
            </w:r>
          </w:p>
        </w:tc>
        <w:tc>
          <w:tcPr>
            <w:tcW w:type="dxa" w:w="5760"/>
          </w:tcPr>
          <w:p>
            <w:r>
              <w:t>20% of the position per year</w:t>
            </w:r>
          </w:p>
        </w:tc>
        <w:tc>
          <w:tcPr>
            <w:tcW w:type="dxa" w:w="1152"/>
          </w:tcPr>
          <w:p>
            <w:r>
              <w:t>3.1</w:t>
            </w:r>
          </w:p>
        </w:tc>
      </w:tr>
      <w:tr>
        <w:tc>
          <w:tcPr>
            <w:tcW w:type="dxa" w:w="2448"/>
          </w:tcPr>
          <w:p>
            <w:r>
              <w:t>Gating history</w:t>
            </w:r>
          </w:p>
        </w:tc>
        <w:tc>
          <w:tcPr>
            <w:tcW w:type="dxa" w:w="5760"/>
          </w:tcPr>
          <w:p>
            <w:r>
              <w:t>not typed: tendered-versus-accepted amounts and proration incidence per offer are not printed (final tender amendments not on disk). Four offers in each of FY2025 and FY2026 establish continuity, not full fills (R2-P1-12 rule)</w:t>
            </w:r>
          </w:p>
        </w:tc>
        <w:tc>
          <w:tcPr>
            <w:tcW w:type="dxa" w:w="1152"/>
          </w:tcPr>
          <w:p>
            <w:r>
              <w:t>3.3</w:t>
            </w:r>
          </w:p>
        </w:tc>
      </w:tr>
      <w:tr>
        <w:tc>
          <w:tcPr>
            <w:tcW w:type="dxa" w:w="2448"/>
          </w:tcPr>
          <w:p>
            <w:r>
              <w:t>Repurchase program status</w:t>
            </w:r>
          </w:p>
        </w:tc>
        <w:tc>
          <w:tcPr>
            <w:tcW w:type="dxa" w:w="5760"/>
          </w:tcPr>
          <w:p>
            <w:r>
              <w:t>not typed: no suspension language in 3.1 or 3.3 as of 2026-03-31</w:t>
            </w:r>
          </w:p>
        </w:tc>
        <w:tc>
          <w:tcPr>
            <w:tcW w:type="dxa" w:w="1152"/>
          </w:tcPr>
          <w:p>
            <w:r>
              <w:t>3.1</w:t>
            </w:r>
          </w:p>
        </w:tc>
      </w:tr>
      <w:tr>
        <w:tc>
          <w:tcPr>
            <w:tcW w:type="dxa" w:w="2448"/>
          </w:tcPr>
          <w:p>
            <w:r>
              <w:t>Early repurchase fee</w:t>
            </w:r>
          </w:p>
        </w:tc>
        <w:tc>
          <w:tcPr>
            <w:tcW w:type="dxa" w:w="5760"/>
          </w:tcPr>
          <w:p>
            <w:r>
              <w:t>2% if held &lt; 1 year (2.7)</w:t>
            </w:r>
          </w:p>
        </w:tc>
        <w:tc>
          <w:tcPr>
            <w:tcW w:type="dxa" w:w="1152"/>
          </w:tcPr>
          <w:p>
            <w:r>
              <w:t>2.7</w:t>
            </w:r>
          </w:p>
        </w:tc>
      </w:tr>
      <w:tr>
        <w:tc>
          <w:tcPr>
            <w:tcW w:type="dxa" w:w="2448"/>
          </w:tcPr>
          <w:p>
            <w:r>
              <w:t>Fund net assets (for the dollar capacity)</w:t>
            </w:r>
          </w:p>
        </w:tc>
        <w:tc>
          <w:tcPr>
            <w:tcW w:type="dxa" w:w="5760"/>
          </w:tcPr>
          <w:p>
            <w:r>
              <w:t>not typed: aggregate net assets not yet carried into a typed cell. Verification-queue item</w:t>
            </w:r>
          </w:p>
        </w:tc>
        <w:tc>
          <w:tcPr>
            <w:tcW w:type="dxa" w:w="1152"/>
          </w:tcPr>
          <w:p>
            <w:r>
              <w:t>3.6</w:t>
            </w:r>
          </w:p>
        </w:tc>
      </w:tr>
    </w:tbl>
    <w:p>
      <w:pPr>
        <w:pStyle w:val="Heading2"/>
      </w:pPr>
      <w:r>
        <w:t>Scenario (ILLUSTRATIVE, this plan)</w:t>
      </w:r>
    </w:p>
    <w:p>
      <w:r>
        <w:t>Plan inputs (Form 5500): net assets $1.6B, liquidity tail 28.2% of accounts (12,176 separated participants with balances), filed outflow proxy 10.8% of beginning net assets per year (Schedule H totals of the plan's Form 5500 for plan year 2024-05-01 to 2025-04-30, from the plan record: total expenses less administrative expenses over beginning net assets, an upper bound on benefit payments while Schedule H line 2e is not in the record).</w:t>
      </w:r>
    </w:p>
    <w:p>
      <w:r>
        <w:t>Base demand (filed outflow proxy applied to a 5% allocation = $79.3M): $8.5M/yr = 10.8% of the position per year vs annual wrapper capacity 20%.</w:t>
      </w:r>
    </w:p>
    <w:p>
      <w:r>
        <w:t>Slider assumption (adjustable on the site, not a fact): tail turnover 20%/yr, active turnover 5%/yr, 9.2% of the position per year = $7.3M/yr, shown beside the filed rate, not blended with it.</w:t>
      </w:r>
    </w:p>
    <w:p>
      <w:r>
        <w:t>Stressed (the filed outflow proxy plus the increment the sliders add under stress (tail turnover x2, active turnover x1.5 over the slider assumption)): demand $14.4M/yr = 18.2% of the position. within wrapper capacity (18.2% vs 20%) IF offers are not prorated.</w:t>
      </w:r>
    </w:p>
    <w:p>
      <w:r>
        <w:t>Fund capacity in dollars: not computable, the fund's net assets are not typed in the record (aggregate net assets not yet carried into a typed cell. Verification-queue item), so the plan's dollar demand cannot be set against the fund's dollar capacity and the allocation slider is not shown.</w:t>
      </w:r>
    </w:p>
    <w:p>
      <w:r>
        <w:t>Scenario verdict (ILLUSTRATIVE, this plan): CONDITIONAL.</w:t>
      </w:r>
    </w:p>
    <w:p>
      <w:pPr>
        <w:pStyle w:val="ListBullet"/>
      </w:pPr>
      <w:r>
        <w:t>Capacity: 5% per quarter on net assets: at most 20% of the position per year. This is a FUND-level cap shared by every holder, so the plan's position is served only while offers are not oversubscribed.</w:t>
      </w:r>
    </w:p>
    <w:p>
      <w:pPr>
        <w:pStyle w:val="ListBullet"/>
      </w:pPr>
      <w:r>
        <w:t>Filed outflow proxy (Schedule H, plan year 2024-05-01 to 2025-04-30): 10.8% of the position per year vs 20% annual wrapper capacity, the plan's total expenses less administrative expenses over beginning net assets, applied to the position. Adequate headroom at the filed rate if offers are not prorated.</w:t>
      </w:r>
    </w:p>
    <w:p>
      <w:pPr>
        <w:pStyle w:val="ListBullet"/>
      </w:pPr>
      <w:r>
        <w:t>Slider assumption (illustrative): 9.2% of the position per year vs 20% annual wrapper capacity, from tail turnover 20%/yr on the 28.2% of accounts that are separated and active turnover 5%/yr on the rest. Shown beside the filed rate, not blended with it. Within 60% of wrapper capacity at these sliders.</w:t>
      </w:r>
    </w:p>
    <w:p>
      <w:pPr>
        <w:pStyle w:val="ListBullet"/>
      </w:pPr>
      <w:r>
        <w:t>Scenario verdict (ILLUSTRATIVE, this plan): conditional. Misaligned when the filed outflow proxy exceeds the annual wrapper capacity, conditional-weak when the stressed demand exceeds it, conditional otherwise. It moves with the plan's filing and the sliders. Proration assumption: an oversubscribed offer is filled pro rata and the unfilled remainder waits for the next window.</w:t>
      </w:r>
    </w:p>
    <w:p>
      <w:pPr>
        <w:pStyle w:val="ListBullet"/>
      </w:pPr>
      <w:r>
        <w:t>Schedule H benefit-payment line 2e is not yet in the plan record. The filed outflow proxy (total expenses less administrative expenses over beginning net assets) stands in for it as the base demand, and the turnover sliders are the stress around it.</w:t>
      </w:r>
    </w:p>
    <w:p>
      <w:r>
        <w:t>Cited: cell 2.7, cell 3.1, cell 3.3, cell 3.7, plan: plan_restaurant_hourly.json (Form 5500, plan year 2024-05-01 to 2025-04-30).</w:t>
      </w:r>
    </w:p>
    <w:p>
      <w:pPr>
        <w:pStyle w:val="Heading1"/>
      </w:pPr>
      <w:r>
        <w:t>Peer cohort placement</w:t>
      </w:r>
    </w:p>
    <w:p>
      <w:r>
        <w:t>Evidence depth tier: COHORT. Cohort: Evergreen private equity ('40-Act funds + '34-Act conglomerate) (n=5). Membership rationale: Secondaries-led evergreen PE tender-offer fund - wrapper and strategy twin of hl_paf/stepstone_spm.</w:t>
      </w:r>
    </w:p>
    <w:p>
      <w:r>
        <w:t>Cohort placement (evergreen private equity cohort): mgmt fee: 50th percentile of cohort (n=5), at the median of 1.4 | expense ratio (bases differ, see notes): 90th percentile of cohort (n=5), above the median of 3.19 | repurchase cap: 50th percentile of cohort (n=5), at the median of 5. Statistics and per-member values are in the cohort artifact, membership rationales in the typed facts.</w:t>
      </w:r>
    </w:p>
    <w:p>
      <w:r>
        <w:t>Cohort composite return: not formed, members report on different year ends (hl_paf: fiscal years to month 03, stepstone_spm: fiscal years to month 03, kkr_kpec: calendar years, ares_pmf: fiscal years to month 03, amg_pantheon: fiscal years to month 03), so no equal-weight composite return is formed. The table shows each member's own periods with n.</w:t>
      </w:r>
    </w:p>
    <w:p>
      <w:pPr>
        <w:pStyle w:val="ListBullet"/>
      </w:pPr>
      <w:r>
        <w:t>Caveat: LEVERAGE-REGIME MIX: BDC 150% coverage and non-1940-Act wrappers allow materially more leverage than 1940-Act funds. Fee bases and return volatility are not like-for-like. [typed per product: amg_pantheon: 1940-Act asset-coverage limits, ares_pmf: 1940-Act asset-coverage limits, hl_paf: 1940-Act asset-coverage limits, kkr_kpec: no 1940-Act leverage limits (34-Act conglomerate), stepstone_spm: 1940-Act asset-coverage limits]</w:t>
      </w:r>
    </w:p>
    <w:p>
      <w:pPr>
        <w:pStyle w:val="ListBullet"/>
      </w:pPr>
      <w:r>
        <w:t>Caveat: LIQUIDITY-LAW MIX: Rule 23c-3 obligations, discretionary tenders, and repurchase plans give different worst-case exit rights. Cadence numbers alone overstate comparability. [by wrapper type: amg_pantheon: board-DISCRETIONARY tender offers (nothing compels the next one), ares_pmf: board-DISCRETIONARY tender offers (nothing compels the next one), hl_paf: board-DISCRETIONARY tender offers (nothing compels the next one), kkr_kpec: board-discretionary share repurchases, stepstone_spm: board-DISCRETIONARY tender offers (nothing compels the next one)]</w:t>
      </w:r>
    </w:p>
    <w:p>
      <w:pPr>
        <w:pStyle w:val="ListBullet"/>
      </w:pPr>
      <w:r>
        <w:t>Caveat: kkr_kpec joins under the authorized fallback: its structural twins are Reg D vehicles with no public filings (data/roster_decisions.md - 'The kkr_kpec ruling'). Cross-wrapper caveats apply.</w:t>
      </w:r>
    </w:p>
    <w:p>
      <w:r>
        <w:t>Cohort exclusion log: every candidate considered and not admitted is recorded with its reason in the roster decisions record (rendered on the site's Cohorts view). Membership is an argued judgment, not a tag.</w:t>
      </w:r>
    </w:p>
    <w:p>
      <w:pPr>
        <w:pStyle w:val="Heading1"/>
      </w:pPr>
      <w:r>
        <w:t>Advisor-stated inputs (this plan)</w:t>
      </w:r>
    </w:p>
    <w:p>
      <w:r>
        <w:t>An advisor-stated cell is the adopting fiduciary's own input for its plan, signed and dated. It is not evidence, it is never extracted or verified, and the product record's cell stays as it is.</w:t>
      </w:r>
    </w:p>
    <w:p>
      <w:r>
        <w:t>None stated for US casual-dining restaurant group 401(k) plan (~$1.6B, FL). The six committee cells (6.6 Plan operational fit, 6.8 Fiduciary capacity self-assessment, 3.7 Plan participant liquidity demand, 2.8 CIT fee schedule, 3.5 TDF/CIT liquidity sleeve, 4.9 CIT unit valuation) remain open.</w:t>
      </w:r>
    </w:p>
    <w:p>
      <w:pPr>
        <w:pStyle w:val="Heading1"/>
      </w:pPr>
      <w:r>
        <w:t>Recommendation</w:t>
      </w:r>
    </w:p>
    <w:p>
      <w:r>
        <w:t>Structural liquidity verdict: PARTIAL (typed facts, plan-independent). Scenario verdict under US casual-dining restaurant group 401(k) plan (~$1.6B, FL) (ILLUSTRATIVE): CONDITIONAL.</w:t>
      </w:r>
    </w:p>
    <w:p>
      <w:r>
        <w:t>Meaningful benchmark (paragraph (k)): Cambridge Associates US PE benchmark at 9/12, cited, series not in the record. Peer comparison (paragraphs (g) and (h)): composite refused, members report on different year ends and no member has a series that builds a common calendar period (Hamilton Lane Private Assets Fund fiscal years to month 03, StepStone Private Markets fiscal years to month 03, KKR Private Equity Conglomerate LLC calendar years, AMG Pantheon Fund, LLC fiscal years to month 03, Ares Private Markets Fund fiscal years to month 03). A composite needs identical start and end dates for every member.</w:t>
      </w:r>
    </w:p>
    <w:p>
      <w:r>
        <w:t>Flags raised by the record (each restates a typed value or verdict already in the artifacts, with its source):</w:t>
      </w:r>
    </w:p>
    <w:p>
      <w:pPr>
        <w:pStyle w:val="ListBullet"/>
      </w:pPr>
      <w:r>
        <w:t>Benchmark: the meaningful benchmark carries no computed comparison (cited, series not in the record: no comparison computed) (benchmark selection)</w:t>
      </w:r>
    </w:p>
    <w:p>
      <w:pPr>
        <w:pStyle w:val="ListBullet"/>
      </w:pPr>
      <w:r>
        <w:t>Peer comparison: composite refused, members report on different year ends and no member has a series that builds a common calendar period (Hamilton Lane Private Assets Fund fiscal years to month 03, StepStone Private Markets fiscal years to month 03, KKR Private Equity Conglomerate LLC calendar years, AMG Pantheon Fund, LLC fiscal years to month 03, Ares Private Markets Fund fiscal years to month 03). A composite needs identical start and end dates for every member (cell 1.12)</w:t>
      </w:r>
    </w:p>
    <w:p>
      <w:pPr>
        <w:pStyle w:val="ListBullet"/>
      </w:pPr>
      <w:r>
        <w:t>Liquidity: structural verdict partial, facts missing: gate_history (cells 3.1, 3.3)</w:t>
      </w:r>
    </w:p>
    <w:p>
      <w:r>
        <w:t>This memo does not decide. The fiduciary makes the decision on this record. The committee-completed cells stay the committee's to complete for its own plan before it does: 6.6 Plan operational fit (open), 6.8 Fiduciary capacity self-assessment (open), 3.7 Plan participant liquidity demand (open), 2.8 CIT fee schedule (open), 3.5 TDF/CIT liquidity sleeve (open), 4.9 CIT unit valuation (open).</w:t>
      </w:r>
    </w:p>
    <w:p>
      <w:pPr>
        <w:pStyle w:val="Heading1"/>
      </w:pPr>
      <w:r>
        <w:t>Scope</w:t>
      </w:r>
    </w:p>
    <w:p>
      <w:r>
        <w:t>This memo records the evaluation of one product as a candidate designated investment alternative for one plan, on the record as of 2026-09-04. It is a selection record. It is not a monitoring record, and nothing in it states a monitoring cadence or a later review.</w:t>
      </w:r>
    </w:p>
    <w:p>
      <w:r>
        <w:t>Every figure in it is a cited cell, a typed projection of a cited cell, or a computation from cited series. Every scenario figure is labeled ILLUSTRATIVE. Cells marked extracted-unverified were extracted by an agent and not yet verified by a person. Verbatim regulatory text is in this build and quoted where cited.</w:t>
      </w:r>
    </w:p>
    <w:p>
      <w:pPr>
        <w:pStyle w:val="Heading1"/>
      </w:pPr>
      <w:r>
        <w:t>Case law</w:t>
      </w:r>
    </w:p>
    <w:p>
      <w:r>
        <w:t>Cell 5.7 (partial): Anderson v. Intel Corp. Investment Policy Committee, No. 25-498 (U.S.). Certiorari granted 2026-01-16 per the Supreme Court docket listing. Question presented, per the docket as relayed in search-result snippets: whether, for claims predicated on fund underperformance, pleading that an ERISA fiduciary breached the duty of prudence requires alleging a meaningful benchmark. The Ninth Circuit had required plaintiffs to identify a comparable alternative giving a sound basis for comparison, a meaningful benchmark. No holding exists yet, and this cell draws no consequence for the evaluation. Status partial: assembled from the docket listing and search snippets, not from the source documents, which this build could not fetch.</w:t>
      </w:r>
    </w:p>
    <w:p>
      <w:r>
        <w:t>Source: Supreme Court docket 25-498, https://www.supremecourt.gov/docket/docketfiles/html/public/25-498.html (grant date). SCOTUSblog case page, https://www.scotusblog.com/cases/anderson-v-intel-corp-investment-policy-comm/ and CRS Legal Sidebar LSB11396, https://www.congress.gov/crs-product/LSB11396 (question presented, argument term). Accessed 2026-09-04 through web-search snippets only.. Extracted: Claude Code (WebSearch snippet, 2026-09-04)</w:t>
      </w:r>
    </w:p>
    <w:p>
      <w:pPr>
        <w:pStyle w:val="Heading1"/>
      </w:pPr>
      <w:r>
        <w:t>Provenance</w:t>
      </w:r>
    </w:p>
    <w:p>
      <w:r>
        <w:t>Cell status for this product, from the record's one coverage formula: structured 0, extracted-unverified 28, verified 0, computed 11, partial 2, fetched 1, n/a 13, pending 0. 42 of 42 resolvable, 0 verified, 13 n/a by wrapper.</w:t>
      </w:r>
    </w:p>
    <w:p>
      <w:r>
        <w:t>Of the 41 evidenced cells, 41 carry a source document, 41 a section, 30 a verbatim quote (computed cells carry their computation and inputs instead of a quote) and 41 an extractor. No cell is verified: no cell has been independently re-checked by a person, and verified_by is empty on every row. Cells marked extracted-unverified were extracted by an agent from the cited document.</w:t>
      </w:r>
    </w:p>
    <w:p>
      <w:pPr>
        <w:pStyle w:val="Heading2"/>
      </w:pPr>
      <w:r>
        <w:t>Sources cited</w:t>
      </w:r>
    </w:p>
    <w:p>
      <w:r>
        <w:t>Each evidenced cell's source document as written in the evidence ledger, with the SEC accession and EDGAR URL resolved against the filing manifest. Where no filing reference resolves, the row says accession not on record.</w:t>
      </w:r>
    </w:p>
    <w:tbl>
      <w:tblPr>
        <w:tblStyle w:val="TableGrid"/>
        <w:tblW w:type="auto" w:w="0"/>
        <w:tblLook w:firstColumn="1" w:firstRow="1" w:lastColumn="0" w:lastRow="0" w:noHBand="0" w:noVBand="1" w:val="04A0"/>
      </w:tblPr>
      <w:tblGrid>
        <w:gridCol w:w="3120"/>
        <w:gridCol w:w="3120"/>
        <w:gridCol w:w="3120"/>
      </w:tblGrid>
      <w:tr>
        <w:tc>
          <w:tcPr>
            <w:tcW w:type="dxa" w:w="720"/>
          </w:tcPr>
          <w:p>
            <w:r>
              <w:t>Cell</w:t>
            </w:r>
          </w:p>
        </w:tc>
        <w:tc>
          <w:tcPr>
            <w:tcW w:type="dxa" w:w="3456"/>
          </w:tcPr>
          <w:p>
            <w:r>
              <w:t>Source as written</w:t>
            </w:r>
          </w:p>
        </w:tc>
        <w:tc>
          <w:tcPr>
            <w:tcW w:type="dxa" w:w="5184"/>
          </w:tcPr>
          <w:p>
            <w:r>
              <w:t>Accession and EDGAR URL</w:t>
            </w:r>
          </w:p>
        </w:tc>
      </w:tr>
      <w:tr>
        <w:tc>
          <w:tcPr>
            <w:tcW w:type="dxa" w:w="720"/>
          </w:tcPr>
          <w:p>
            <w:r>
              <w:t>1.1</w:t>
            </w:r>
          </w:p>
        </w:tc>
        <w:tc>
          <w:tcPr>
            <w:tcW w:type="dxa" w:w="3456"/>
          </w:tcPr>
          <w:p>
            <w:r>
              <w:t>N-CSR (FY2026 annual report, FYE 3/31/2026), filed 2026-06-04; 4/30/2026 point per SC TO-I filed 2026-06-01</w:t>
            </w:r>
          </w:p>
        </w:tc>
        <w:tc>
          <w:tcPr>
            <w:tcW w:type="dxa" w:w="5184"/>
          </w:tcPr>
          <w:p>
            <w:r>
              <w:t>N-CSR 2026-06-04 accession 0001104659-26-070470 https://www.sec.gov/Archives/edgar/data/1876006/000110465926070470/tm2616630d1_ncsr.htm</w:t>
            </w:r>
          </w:p>
          <w:p>
            <w:r>
              <w:t>SC TO-I 2026-06-01 accession 0001104659-26-068976 https://www.sec.gov/Archives/edgar/data/1876006/000110465926068976/tm2616081d1_sctoi.htm</w:t>
            </w:r>
          </w:p>
        </w:tc>
      </w:tr>
      <w:tr>
        <w:tc>
          <w:tcPr>
            <w:tcW w:type="dxa" w:w="720"/>
          </w:tcPr>
          <w:p>
            <w:r>
              <w:t>1.2</w:t>
            </w:r>
          </w:p>
        </w:tc>
        <w:tc>
          <w:tcPr>
            <w:tcW w:type="dxa" w:w="3456"/>
          </w:tcPr>
          <w:p>
            <w:r>
              <w:t>N-CSR (FY2026 annual report, FYE 3/31/2026), filed 2026-06-04</w:t>
            </w:r>
          </w:p>
        </w:tc>
        <w:tc>
          <w:tcPr>
            <w:tcW w:type="dxa" w:w="5184"/>
          </w:tcPr>
          <w:p>
            <w:r>
              <w:t>N-CSR 2026-06-04 accession 0001104659-26-070470 https://www.sec.gov/Archives/edgar/data/1876006/000110465926070470/tm2616630d1_ncsr.htm</w:t>
            </w:r>
          </w:p>
        </w:tc>
      </w:tr>
      <w:tr>
        <w:tc>
          <w:tcPr>
            <w:tcW w:type="dxa" w:w="720"/>
          </w:tcPr>
          <w:p>
            <w:r>
              <w:t>1.3</w:t>
            </w:r>
          </w:p>
        </w:tc>
        <w:tc>
          <w:tcPr>
            <w:tcW w:type="dxa" w:w="3456"/>
          </w:tcPr>
          <w:p>
            <w:r>
              <w:t>N-CSR (FY2026 annual report), filed 2026-06-04</w:t>
            </w:r>
          </w:p>
        </w:tc>
        <w:tc>
          <w:tcPr>
            <w:tcW w:type="dxa" w:w="5184"/>
          </w:tcPr>
          <w:p>
            <w:r>
              <w:t>N-CSR 2026-06-04 accession 0001104659-26-070470 https://www.sec.gov/Archives/edgar/data/1876006/000110465926070470/tm2616630d1_ncsr.htm</w:t>
            </w:r>
          </w:p>
        </w:tc>
      </w:tr>
      <w:tr>
        <w:tc>
          <w:tcPr>
            <w:tcW w:type="dxa" w:w="720"/>
          </w:tcPr>
          <w:p>
            <w:r>
              <w:t>1.4</w:t>
            </w:r>
          </w:p>
        </w:tc>
        <w:tc>
          <w:tcPr>
            <w:tcW w:type="dxa" w:w="3456"/>
          </w:tcPr>
          <w:p>
            <w:r>
              <w:t>N-CSR (FY2026 annual report), filed 2026-06-04</w:t>
            </w:r>
          </w:p>
        </w:tc>
        <w:tc>
          <w:tcPr>
            <w:tcW w:type="dxa" w:w="5184"/>
          </w:tcPr>
          <w:p>
            <w:r>
              <w:t>N-CSR 2026-06-04 accession 0001104659-26-070470 https://www.sec.gov/Archives/edgar/data/1876006/000110465926070470/tm2616630d1_ncsr.htm</w:t>
            </w:r>
          </w:p>
        </w:tc>
      </w:tr>
      <w:tr>
        <w:tc>
          <w:tcPr>
            <w:tcW w:type="dxa" w:w="720"/>
          </w:tcPr>
          <w:p>
            <w:r>
              <w:t>1.8</w:t>
            </w:r>
          </w:p>
        </w:tc>
        <w:tc>
          <w:tcPr>
            <w:tcW w:type="dxa" w:w="3456"/>
          </w:tcPr>
          <w:p>
            <w:r>
              <w:t>benchmark selection artifact (Ares Private Markets Fund)</w:t>
            </w:r>
          </w:p>
        </w:tc>
        <w:tc>
          <w:tcPr>
            <w:tcW w:type="dxa" w:w="5184"/>
          </w:tcPr>
          <w:p>
            <w:r>
              <w:t>accession not on record: no filing reference in the source field</w:t>
            </w:r>
          </w:p>
        </w:tc>
      </w:tr>
      <w:tr>
        <w:tc>
          <w:tcPr>
            <w:tcW w:type="dxa" w:w="720"/>
          </w:tcPr>
          <w:p>
            <w:r>
              <w:t>1.9</w:t>
            </w:r>
          </w:p>
        </w:tc>
        <w:tc>
          <w:tcPr>
            <w:tcW w:type="dxa" w:w="3456"/>
          </w:tcPr>
          <w:p>
            <w:r>
              <w:t>analytics supplement artifact (stress windows)</w:t>
            </w:r>
          </w:p>
        </w:tc>
        <w:tc>
          <w:tcPr>
            <w:tcW w:type="dxa" w:w="5184"/>
          </w:tcPr>
          <w:p>
            <w:r>
              <w:t>accession not on record: no filing reference in the source field</w:t>
            </w:r>
          </w:p>
        </w:tc>
      </w:tr>
      <w:tr>
        <w:tc>
          <w:tcPr>
            <w:tcW w:type="dxa" w:w="720"/>
          </w:tcPr>
          <w:p>
            <w:r>
              <w:t>1.11</w:t>
            </w:r>
          </w:p>
        </w:tc>
        <w:tc>
          <w:tcPr>
            <w:tcW w:type="dxa" w:w="3456"/>
          </w:tcPr>
          <w:p>
            <w:r>
              <w:t>N-CSR filed 2026-06-04 (Note 1; Item 13; Fund Management); 424B3 supplement dated 2026-06-04 (Herbers addition); 486BPOS filed 2026-07-29 (platform AUM)</w:t>
            </w:r>
          </w:p>
        </w:tc>
        <w:tc>
          <w:tcPr>
            <w:tcW w:type="dxa" w:w="5184"/>
          </w:tcPr>
          <w:p>
            <w:r>
              <w:t>N-CSR 2026-06-04 accession 0001104659-26-070470 https://www.sec.gov/Archives/edgar/data/1876006/000110465926070470/tm2616630d1_ncsr.htm</w:t>
            </w:r>
          </w:p>
          <w:p>
            <w:r>
              <w:t>424B3 2026-06-04 accession 0001104659-26-070502 https://www.sec.gov/Archives/edgar/data/1876006/000110465926070502/tm2616743d1_424b3.htm</w:t>
            </w:r>
          </w:p>
          <w:p>
            <w:r>
              <w:t>486BPOS 2026-07-29 accession 0001104659-26-088219 https://www.sec.gov/Archives/edgar/data/1876006/000110465926088219/tm2621209d1_486bpos.htm</w:t>
            </w:r>
          </w:p>
        </w:tc>
      </w:tr>
      <w:tr>
        <w:tc>
          <w:tcPr>
            <w:tcW w:type="dxa" w:w="720"/>
          </w:tcPr>
          <w:p>
            <w:r>
              <w:t>1.12</w:t>
            </w:r>
          </w:p>
        </w:tc>
        <w:tc>
          <w:tcPr>
            <w:tcW w:type="dxa" w:w="3456"/>
          </w:tcPr>
          <w:p>
            <w:r>
              <w:t>benchmark selection artifact (Ares Private Markets Fund)</w:t>
            </w:r>
          </w:p>
        </w:tc>
        <w:tc>
          <w:tcPr>
            <w:tcW w:type="dxa" w:w="5184"/>
          </w:tcPr>
          <w:p>
            <w:r>
              <w:t>accession not on record: no filing reference in the source field</w:t>
            </w:r>
          </w:p>
        </w:tc>
      </w:tr>
      <w:tr>
        <w:tc>
          <w:tcPr>
            <w:tcW w:type="dxa" w:w="720"/>
          </w:tcPr>
          <w:p>
            <w:r>
              <w:t>2.1</w:t>
            </w:r>
          </w:p>
        </w:tc>
        <w:tc>
          <w:tcPr>
            <w:tcW w:type="dxa" w:w="3456"/>
          </w:tcPr>
          <w:p>
            <w:r>
              <w:t>N-CSR (FY2026 annual report), filed 2026-06-04, Note 4; rate/base restated in 486BPOS filed 2026-07-29, fee table fn (3)</w:t>
            </w:r>
          </w:p>
        </w:tc>
        <w:tc>
          <w:tcPr>
            <w:tcW w:type="dxa" w:w="5184"/>
          </w:tcPr>
          <w:p>
            <w:r>
              <w:t>N-CSR 2026-06-04 accession 0001104659-26-070470 https://www.sec.gov/Archives/edgar/data/1876006/000110465926070470/tm2616630d1_ncsr.htm</w:t>
            </w:r>
          </w:p>
          <w:p>
            <w:r>
              <w:t>486BPOS 2026-07-29 accession 0001104659-26-088219 https://www.sec.gov/Archives/edgar/data/1876006/000110465926088219/tm2621209d1_486bpos.htm</w:t>
            </w:r>
          </w:p>
        </w:tc>
      </w:tr>
      <w:tr>
        <w:tc>
          <w:tcPr>
            <w:tcW w:type="dxa" w:w="720"/>
          </w:tcPr>
          <w:p>
            <w:r>
              <w:t>2.2</w:t>
            </w:r>
          </w:p>
        </w:tc>
        <w:tc>
          <w:tcPr>
            <w:tcW w:type="dxa" w:w="3456"/>
          </w:tcPr>
          <w:p>
            <w:r>
              <w:t>N-CSR (FY2026 annual report), filed 2026-06-04, Note 4; 486BPOS filed 2026-07-29, fee table fn (4)</w:t>
            </w:r>
          </w:p>
        </w:tc>
        <w:tc>
          <w:tcPr>
            <w:tcW w:type="dxa" w:w="5184"/>
          </w:tcPr>
          <w:p>
            <w:r>
              <w:t>N-CSR 2026-06-04 accession 0001104659-26-070470 https://www.sec.gov/Archives/edgar/data/1876006/000110465926070470/tm2616630d1_ncsr.htm</w:t>
            </w:r>
          </w:p>
          <w:p>
            <w:r>
              <w:t>486BPOS 2026-07-29 accession 0001104659-26-088219 https://www.sec.gov/Archives/edgar/data/1876006/000110465926088219/tm2621209d1_486bpos.htm</w:t>
            </w:r>
          </w:p>
        </w:tc>
      </w:tr>
      <w:tr>
        <w:tc>
          <w:tcPr>
            <w:tcW w:type="dxa" w:w="720"/>
          </w:tcPr>
          <w:p>
            <w:r>
              <w:t>2.3</w:t>
            </w:r>
          </w:p>
        </w:tc>
        <w:tc>
          <w:tcPr>
            <w:tcW w:type="dxa" w:w="3456"/>
          </w:tcPr>
          <w:p>
            <w:r>
              <w:t>N-CSR (FY2026 annual report), filed 2026-06-04 - Financial Highlights + Note 4 Expense Limitation Agreement; 486BPOS filed 2026-07-29 fee table</w:t>
            </w:r>
          </w:p>
        </w:tc>
        <w:tc>
          <w:tcPr>
            <w:tcW w:type="dxa" w:w="5184"/>
          </w:tcPr>
          <w:p>
            <w:r>
              <w:t>N-CSR 2026-06-04 accession 0001104659-26-070470 https://www.sec.gov/Archives/edgar/data/1876006/000110465926070470/tm2616630d1_ncsr.htm</w:t>
            </w:r>
          </w:p>
          <w:p>
            <w:r>
              <w:t>486BPOS 2026-07-29 accession 0001104659-26-088219 https://www.sec.gov/Archives/edgar/data/1876006/000110465926088219/tm2621209d1_486bpos.htm</w:t>
            </w:r>
          </w:p>
        </w:tc>
      </w:tr>
      <w:tr>
        <w:tc>
          <w:tcPr>
            <w:tcW w:type="dxa" w:w="720"/>
          </w:tcPr>
          <w:p>
            <w:r>
              <w:t>2.4</w:t>
            </w:r>
          </w:p>
        </w:tc>
        <w:tc>
          <w:tcPr>
            <w:tcW w:type="dxa" w:w="3456"/>
          </w:tcPr>
          <w:p>
            <w:r>
              <w:t>486BPOS base prospectus+SAI, filed 2026-07-29</w:t>
            </w:r>
          </w:p>
        </w:tc>
        <w:tc>
          <w:tcPr>
            <w:tcW w:type="dxa" w:w="5184"/>
          </w:tcPr>
          <w:p>
            <w:r>
              <w:t>486BPOS 2026-07-29 accession 0001104659-26-088219 https://www.sec.gov/Archives/edgar/data/1876006/000110465926088219/tm2621209d1_486bpos.htm</w:t>
            </w:r>
          </w:p>
        </w:tc>
      </w:tr>
      <w:tr>
        <w:tc>
          <w:tcPr>
            <w:tcW w:type="dxa" w:w="720"/>
          </w:tcPr>
          <w:p>
            <w:r>
              <w:t>2.5</w:t>
            </w:r>
          </w:p>
        </w:tc>
        <w:tc>
          <w:tcPr>
            <w:tcW w:type="dxa" w:w="3456"/>
          </w:tcPr>
          <w:p>
            <w:r>
              <w:t>486BPOS base prospectus+SAI, filed 2026-07-29</w:t>
            </w:r>
          </w:p>
        </w:tc>
        <w:tc>
          <w:tcPr>
            <w:tcW w:type="dxa" w:w="5184"/>
          </w:tcPr>
          <w:p>
            <w:r>
              <w:t>486BPOS 2026-07-29 accession 0001104659-26-088219 https://www.sec.gov/Archives/edgar/data/1876006/000110465926088219/tm2621209d1_486bpos.htm</w:t>
            </w:r>
          </w:p>
        </w:tc>
      </w:tr>
      <w:tr>
        <w:tc>
          <w:tcPr>
            <w:tcW w:type="dxa" w:w="720"/>
          </w:tcPr>
          <w:p>
            <w:r>
              <w:t>2.6</w:t>
            </w:r>
          </w:p>
        </w:tc>
        <w:tc>
          <w:tcPr>
            <w:tcW w:type="dxa" w:w="3456"/>
          </w:tcPr>
          <w:p>
            <w:r>
              <w:t>N-CSR (FY2026 annual report), filed 2026-06-04, Note 4 - Distribution Agreement and Note 6; 486BPOS filed 2026-07-29 Shareholder Transaction Expenses table</w:t>
            </w:r>
          </w:p>
        </w:tc>
        <w:tc>
          <w:tcPr>
            <w:tcW w:type="dxa" w:w="5184"/>
          </w:tcPr>
          <w:p>
            <w:r>
              <w:t>N-CSR 2026-06-04 accession 0001104659-26-070470 https://www.sec.gov/Archives/edgar/data/1876006/000110465926070470/tm2616630d1_ncsr.htm</w:t>
            </w:r>
          </w:p>
          <w:p>
            <w:r>
              <w:t>486BPOS 2026-07-29 accession 0001104659-26-088219 https://www.sec.gov/Archives/edgar/data/1876006/000110465926088219/tm2621209d1_486bpos.htm</w:t>
            </w:r>
          </w:p>
        </w:tc>
      </w:tr>
      <w:tr>
        <w:tc>
          <w:tcPr>
            <w:tcW w:type="dxa" w:w="720"/>
          </w:tcPr>
          <w:p>
            <w:r>
              <w:t>2.7</w:t>
            </w:r>
          </w:p>
        </w:tc>
        <w:tc>
          <w:tcPr>
            <w:tcW w:type="dxa" w:w="3456"/>
          </w:tcPr>
          <w:p>
            <w:r>
              <w:t>N-CSR (FY2026 annual report), filed 2026-06-04, Note 7; 486BPOS filed 2026-07-29 fee table fn (2); SC TO-I filed 2026-06-01 (FIFO)</w:t>
            </w:r>
          </w:p>
        </w:tc>
        <w:tc>
          <w:tcPr>
            <w:tcW w:type="dxa" w:w="5184"/>
          </w:tcPr>
          <w:p>
            <w:r>
              <w:t>N-CSR 2026-06-04 accession 0001104659-26-070470 https://www.sec.gov/Archives/edgar/data/1876006/000110465926070470/tm2616630d1_ncsr.htm</w:t>
            </w:r>
          </w:p>
          <w:p>
            <w:r>
              <w:t>486BPOS 2026-07-29 accession 0001104659-26-088219 https://www.sec.gov/Archives/edgar/data/1876006/000110465926088219/tm2621209d1_486bpos.htm</w:t>
            </w:r>
          </w:p>
          <w:p>
            <w:r>
              <w:t>SC TO-I 2026-06-01 accession 0001104659-26-068976 https://www.sec.gov/Archives/edgar/data/1876006/000110465926068976/tm2616081d1_sctoi.htm</w:t>
            </w:r>
          </w:p>
        </w:tc>
      </w:tr>
      <w:tr>
        <w:tc>
          <w:tcPr>
            <w:tcW w:type="dxa" w:w="720"/>
          </w:tcPr>
          <w:p>
            <w:r>
              <w:t>2.9</w:t>
            </w:r>
          </w:p>
        </w:tc>
        <w:tc>
          <w:tcPr>
            <w:tcW w:type="dxa" w:w="3456"/>
          </w:tcPr>
          <w:p>
            <w:r>
              <w:t>cohort artifact (evergreen private equity cohort)</w:t>
            </w:r>
          </w:p>
        </w:tc>
        <w:tc>
          <w:tcPr>
            <w:tcW w:type="dxa" w:w="5184"/>
          </w:tcPr>
          <w:p>
            <w:r>
              <w:t>accession not on record: no filing reference in the source field</w:t>
            </w:r>
          </w:p>
        </w:tc>
      </w:tr>
      <w:tr>
        <w:tc>
          <w:tcPr>
            <w:tcW w:type="dxa" w:w="720"/>
          </w:tcPr>
          <w:p>
            <w:r>
              <w:t>3.1</w:t>
            </w:r>
          </w:p>
        </w:tc>
        <w:tc>
          <w:tcPr>
            <w:tcW w:type="dxa" w:w="3456"/>
          </w:tcPr>
          <w:p>
            <w:r>
              <w:t>N-CSR filed 2026-06-04, Notes 6-7 and Risk Factors; SC TO-I filed 2026-06-01, Item 1; 486BPOS filed 2026-07-29 facing sheet</w:t>
            </w:r>
          </w:p>
        </w:tc>
        <w:tc>
          <w:tcPr>
            <w:tcW w:type="dxa" w:w="5184"/>
          </w:tcPr>
          <w:p>
            <w:r>
              <w:t>N-CSR 2026-06-04 accession 0001104659-26-070470 https://www.sec.gov/Archives/edgar/data/1876006/000110465926070470/tm2616630d1_ncsr.htm</w:t>
            </w:r>
          </w:p>
          <w:p>
            <w:r>
              <w:t>SC TO-I 2026-06-01 accession 0001104659-26-068976 https://www.sec.gov/Archives/edgar/data/1876006/000110465926068976/tm2616081d1_sctoi.htm</w:t>
            </w:r>
          </w:p>
          <w:p>
            <w:r>
              <w:t>486BPOS 2026-07-29 accession 0001104659-26-088219 https://www.sec.gov/Archives/edgar/data/1876006/000110465926088219/tm2621209d1_486bpos.htm</w:t>
            </w:r>
          </w:p>
        </w:tc>
      </w:tr>
      <w:tr>
        <w:tc>
          <w:tcPr>
            <w:tcW w:type="dxa" w:w="720"/>
          </w:tcPr>
          <w:p>
            <w:r>
              <w:t>3.2</w:t>
            </w:r>
          </w:p>
        </w:tc>
        <w:tc>
          <w:tcPr>
            <w:tcW w:type="dxa" w:w="3456"/>
          </w:tcPr>
          <w:p>
            <w:r>
              <w:t>SC TO-I issuer tender offer, filed 2026-06-01</w:t>
            </w:r>
          </w:p>
        </w:tc>
        <w:tc>
          <w:tcPr>
            <w:tcW w:type="dxa" w:w="5184"/>
          </w:tcPr>
          <w:p>
            <w:r>
              <w:t>SC TO-I 2026-06-01 accession 0001104659-26-068976 https://www.sec.gov/Archives/edgar/data/1876006/000110465926068976/tm2616081d1_sctoi.htm</w:t>
            </w:r>
          </w:p>
        </w:tc>
      </w:tr>
      <w:tr>
        <w:tc>
          <w:tcPr>
            <w:tcW w:type="dxa" w:w="720"/>
          </w:tcPr>
          <w:p>
            <w:r>
              <w:t>3.3</w:t>
            </w:r>
          </w:p>
        </w:tc>
        <w:tc>
          <w:tcPr>
            <w:tcW w:type="dxa" w:w="3456"/>
          </w:tcPr>
          <w:p>
            <w:r>
              <w:t>N-CSR (FY2026 annual report), filed 2026-06-04</w:t>
            </w:r>
          </w:p>
        </w:tc>
        <w:tc>
          <w:tcPr>
            <w:tcW w:type="dxa" w:w="5184"/>
          </w:tcPr>
          <w:p>
            <w:r>
              <w:t>N-CSR 2026-06-04 accession 0001104659-26-070470 https://www.sec.gov/Archives/edgar/data/1876006/000110465926070470/tm2616630d1_ncsr.htm</w:t>
            </w:r>
          </w:p>
        </w:tc>
      </w:tr>
      <w:tr>
        <w:tc>
          <w:tcPr>
            <w:tcW w:type="dxa" w:w="720"/>
          </w:tcPr>
          <w:p>
            <w:r>
              <w:t>3.4</w:t>
            </w:r>
          </w:p>
        </w:tc>
        <w:tc>
          <w:tcPr>
            <w:tcW w:type="dxa" w:w="3456"/>
          </w:tcPr>
          <w:p>
            <w:r>
              <w:t>N-CSR (FY2026 annual report), filed 2026-06-04</w:t>
            </w:r>
          </w:p>
        </w:tc>
        <w:tc>
          <w:tcPr>
            <w:tcW w:type="dxa" w:w="5184"/>
          </w:tcPr>
          <w:p>
            <w:r>
              <w:t>N-CSR 2026-06-04 accession 0001104659-26-070470 https://www.sec.gov/Archives/edgar/data/1876006/000110465926070470/tm2616630d1_ncsr.htm</w:t>
            </w:r>
          </w:p>
        </w:tc>
      </w:tr>
      <w:tr>
        <w:tc>
          <w:tcPr>
            <w:tcW w:type="dxa" w:w="720"/>
          </w:tcPr>
          <w:p>
            <w:r>
              <w:t>3.6</w:t>
            </w:r>
          </w:p>
        </w:tc>
        <w:tc>
          <w:tcPr>
            <w:tcW w:type="dxa" w:w="3456"/>
          </w:tcPr>
          <w:p>
            <w:r>
              <w:t>N-CSR (FY2026 annual report), filed 2026-06-04, Note 5 and Financial Highlights SENIOR SECURITIES; borrowing-limit policy per 486BPOS filed 2026-07-29</w:t>
            </w:r>
          </w:p>
        </w:tc>
        <w:tc>
          <w:tcPr>
            <w:tcW w:type="dxa" w:w="5184"/>
          </w:tcPr>
          <w:p>
            <w:r>
              <w:t>N-CSR 2026-06-04 accession 0001104659-26-070470 https://www.sec.gov/Archives/edgar/data/1876006/000110465926070470/tm2616630d1_ncsr.htm</w:t>
            </w:r>
          </w:p>
          <w:p>
            <w:r>
              <w:t>486BPOS 2026-07-29 accession 0001104659-26-088219 https://www.sec.gov/Archives/edgar/data/1876006/000110465926088219/tm2621209d1_486bpos.htm</w:t>
            </w:r>
          </w:p>
        </w:tc>
      </w:tr>
      <w:tr>
        <w:tc>
          <w:tcPr>
            <w:tcW w:type="dxa" w:w="720"/>
          </w:tcPr>
          <w:p>
            <w:r>
              <w:t>3.7</w:t>
            </w:r>
          </w:p>
        </w:tc>
        <w:tc>
          <w:tcPr>
            <w:tcW w:type="dxa" w:w="3456"/>
          </w:tcPr>
          <w:p>
            <w:r>
              <w:t>plan records on file (Form 5500), read per plan by the liquidity match</w:t>
            </w:r>
          </w:p>
        </w:tc>
        <w:tc>
          <w:tcPr>
            <w:tcW w:type="dxa" w:w="5184"/>
          </w:tcPr>
          <w:p>
            <w:r>
              <w:t>accession not on record: no filing reference in the source field</w:t>
            </w:r>
          </w:p>
        </w:tc>
      </w:tr>
      <w:tr>
        <w:tc>
          <w:tcPr>
            <w:tcW w:type="dxa" w:w="720"/>
          </w:tcPr>
          <w:p>
            <w:r>
              <w:t>3.8</w:t>
            </w:r>
          </w:p>
        </w:tc>
        <w:tc>
          <w:tcPr>
            <w:tcW w:type="dxa" w:w="3456"/>
          </w:tcPr>
          <w:p>
            <w:r>
              <w:t>liquidity match artifacts (Ares Private Markets Fund, four reference plans)</w:t>
            </w:r>
          </w:p>
        </w:tc>
        <w:tc>
          <w:tcPr>
            <w:tcW w:type="dxa" w:w="5184"/>
          </w:tcPr>
          <w:p>
            <w:r>
              <w:t>accession not on record: no filing reference in the source field</w:t>
            </w:r>
          </w:p>
        </w:tc>
      </w:tr>
      <w:tr>
        <w:tc>
          <w:tcPr>
            <w:tcW w:type="dxa" w:w="720"/>
          </w:tcPr>
          <w:p>
            <w:r>
              <w:t>3.9</w:t>
            </w:r>
          </w:p>
        </w:tc>
        <w:tc>
          <w:tcPr>
            <w:tcW w:type="dxa" w:w="3456"/>
          </w:tcPr>
          <w:p>
            <w:r>
              <w:t>liquidity match artifacts (Ares Private Markets Fund, four reference plans)</w:t>
            </w:r>
          </w:p>
        </w:tc>
        <w:tc>
          <w:tcPr>
            <w:tcW w:type="dxa" w:w="5184"/>
          </w:tcPr>
          <w:p>
            <w:r>
              <w:t>accession not on record: no filing reference in the source field</w:t>
            </w:r>
          </w:p>
        </w:tc>
      </w:tr>
      <w:tr>
        <w:tc>
          <w:tcPr>
            <w:tcW w:type="dxa" w:w="720"/>
          </w:tcPr>
          <w:p>
            <w:r>
              <w:t>4.1</w:t>
            </w:r>
          </w:p>
        </w:tc>
        <w:tc>
          <w:tcPr>
            <w:tcW w:type="dxa" w:w="3456"/>
          </w:tcPr>
          <w:p>
            <w:r>
              <w:t>486BPOS base prospectus+SAI, filed 2026-07-29 - NET ASSET VALUATION; corroborated by N-CSR filed 2026-06-04, Note 2 ('values its investments monthly')</w:t>
            </w:r>
          </w:p>
        </w:tc>
        <w:tc>
          <w:tcPr>
            <w:tcW w:type="dxa" w:w="5184"/>
          </w:tcPr>
          <w:p>
            <w:r>
              <w:t>486BPOS 2026-07-29 accession 0001104659-26-088219 https://www.sec.gov/Archives/edgar/data/1876006/000110465926088219/tm2621209d1_486bpos.htm</w:t>
            </w:r>
          </w:p>
          <w:p>
            <w:r>
              <w:t>N-CSR 2026-06-04 accession 0001104659-26-070470 https://www.sec.gov/Archives/edgar/data/1876006/000110465926070470/tm2616630d1_ncsr.htm</w:t>
            </w:r>
          </w:p>
        </w:tc>
      </w:tr>
      <w:tr>
        <w:tc>
          <w:tcPr>
            <w:tcW w:type="dxa" w:w="720"/>
          </w:tcPr>
          <w:p>
            <w:r>
              <w:t>4.2</w:t>
            </w:r>
          </w:p>
        </w:tc>
        <w:tc>
          <w:tcPr>
            <w:tcW w:type="dxa" w:w="3456"/>
          </w:tcPr>
          <w:p>
            <w:r>
              <w:t>N-CSR (FY2026 annual report), filed 2026-06-04</w:t>
            </w:r>
          </w:p>
        </w:tc>
        <w:tc>
          <w:tcPr>
            <w:tcW w:type="dxa" w:w="5184"/>
          </w:tcPr>
          <w:p>
            <w:r>
              <w:t>N-CSR 2026-06-04 accession 0001104659-26-070470 https://www.sec.gov/Archives/edgar/data/1876006/000110465926070470/tm2616630d1_ncsr.htm</w:t>
            </w:r>
          </w:p>
        </w:tc>
      </w:tr>
      <w:tr>
        <w:tc>
          <w:tcPr>
            <w:tcW w:type="dxa" w:w="720"/>
          </w:tcPr>
          <w:p>
            <w:r>
              <w:t>4.3</w:t>
            </w:r>
          </w:p>
        </w:tc>
        <w:tc>
          <w:tcPr>
            <w:tcW w:type="dxa" w:w="3456"/>
          </w:tcPr>
          <w:p>
            <w:r>
              <w:t>486BPOS base prospectus+SAI, filed 2026-07-29; name-absence search across all on-disk ares_pmf filings</w:t>
            </w:r>
          </w:p>
        </w:tc>
        <w:tc>
          <w:tcPr>
            <w:tcW w:type="dxa" w:w="5184"/>
          </w:tcPr>
          <w:p>
            <w:r>
              <w:t>486BPOS 2026-07-29 accession 0001104659-26-088219 https://www.sec.gov/Archives/edgar/data/1876006/000110465926088219/tm2621209d1_486bpos.htm</w:t>
            </w:r>
          </w:p>
          <w:p>
            <w:r>
              <w:t>*, cited as all filings held for the product, 4 held:</w:t>
            </w:r>
          </w:p>
          <w:p>
            <w:r>
              <w:t>2026-06-01 accession 0001104659-26-068976 https://www.sec.gov/Archives/edgar/data/1876006/000110465926068976/tm2616081d1_sctoi.htm</w:t>
            </w:r>
          </w:p>
          <w:p>
            <w:r>
              <w:t>2026-06-04 accession 0001104659-26-070502 https://www.sec.gov/Archives/edgar/data/1876006/000110465926070502/tm2616743d1_424b3.htm</w:t>
            </w:r>
          </w:p>
          <w:p>
            <w:r>
              <w:t>2026-06-04 accession 0001104659-26-070470 https://www.sec.gov/Archives/edgar/data/1876006/000110465926070470/tm2616630d1_ncsr.htm</w:t>
            </w:r>
          </w:p>
          <w:p>
            <w:r>
              <w:t>2026-07-29 accession 0001104659-26-088219 https://www.sec.gov/Archives/edgar/data/1876006/000110465926088219/tm2621209d1_486bpos.htm</w:t>
            </w:r>
          </w:p>
        </w:tc>
      </w:tr>
      <w:tr>
        <w:tc>
          <w:tcPr>
            <w:tcW w:type="dxa" w:w="720"/>
          </w:tcPr>
          <w:p>
            <w:r>
              <w:t>4.4</w:t>
            </w:r>
          </w:p>
        </w:tc>
        <w:tc>
          <w:tcPr>
            <w:tcW w:type="dxa" w:w="3456"/>
          </w:tcPr>
          <w:p>
            <w:r>
              <w:t>N-CSR (FY2026 annual report), filed 2026-06-04, Note 3 (L3 techniques + unobservable inputs table); 486BPOS filed 2026-07-29 NET ASSET VALUATION</w:t>
            </w:r>
          </w:p>
        </w:tc>
        <w:tc>
          <w:tcPr>
            <w:tcW w:type="dxa" w:w="5184"/>
          </w:tcPr>
          <w:p>
            <w:r>
              <w:t>N-CSR 2026-06-04 accession 0001104659-26-070470 https://www.sec.gov/Archives/edgar/data/1876006/000110465926070470/tm2616630d1_ncsr.htm</w:t>
            </w:r>
          </w:p>
          <w:p>
            <w:r>
              <w:t>486BPOS 2026-07-29 accession 0001104659-26-088219 https://www.sec.gov/Archives/edgar/data/1876006/000110465926088219/tm2621209d1_486bpos.htm</w:t>
            </w:r>
          </w:p>
        </w:tc>
      </w:tr>
      <w:tr>
        <w:tc>
          <w:tcPr>
            <w:tcW w:type="dxa" w:w="720"/>
          </w:tcPr>
          <w:p>
            <w:r>
              <w:t>4.5</w:t>
            </w:r>
          </w:p>
        </w:tc>
        <w:tc>
          <w:tcPr>
            <w:tcW w:type="dxa" w:w="3456"/>
          </w:tcPr>
          <w:p>
            <w:r>
              <w:t>N-CSR (FY2026 annual report), filed 2026-06-04 - Report of Independent Registered Public Accounting Firm + Item 4; 486BPOS filed 2026-07-29 INDEPENDENT REGISTERED PUBLIC ACCOUNTING FIRM</w:t>
            </w:r>
          </w:p>
        </w:tc>
        <w:tc>
          <w:tcPr>
            <w:tcW w:type="dxa" w:w="5184"/>
          </w:tcPr>
          <w:p>
            <w:r>
              <w:t>N-CSR 2026-06-04 accession 0001104659-26-070470 https://www.sec.gov/Archives/edgar/data/1876006/000110465926070470/tm2616630d1_ncsr.htm</w:t>
            </w:r>
          </w:p>
          <w:p>
            <w:r>
              <w:t>486BPOS 2026-07-29 accession 0001104659-26-088219 https://www.sec.gov/Archives/edgar/data/1876006/000110465926088219/tm2621209d1_486bpos.htm</w:t>
            </w:r>
          </w:p>
        </w:tc>
      </w:tr>
      <w:tr>
        <w:tc>
          <w:tcPr>
            <w:tcW w:type="dxa" w:w="720"/>
          </w:tcPr>
          <w:p>
            <w:r>
              <w:t>4.6</w:t>
            </w:r>
          </w:p>
        </w:tc>
        <w:tc>
          <w:tcPr>
            <w:tcW w:type="dxa" w:w="3456"/>
          </w:tcPr>
          <w:p>
            <w:r>
              <w:t>N-CSR (FY2026 annual report), filed 2026-06-04, Note 2 (absence search across all on-disk ares_pmf filings)</w:t>
            </w:r>
          </w:p>
        </w:tc>
        <w:tc>
          <w:tcPr>
            <w:tcW w:type="dxa" w:w="5184"/>
          </w:tcPr>
          <w:p>
            <w:r>
              <w:t>N-CSR 2026-06-04 accession 0001104659-26-070470 https://www.sec.gov/Archives/edgar/data/1876006/000110465926070470/tm2616630d1_ncsr.htm</w:t>
            </w:r>
          </w:p>
        </w:tc>
      </w:tr>
      <w:tr>
        <w:tc>
          <w:tcPr>
            <w:tcW w:type="dxa" w:w="720"/>
          </w:tcPr>
          <w:p>
            <w:r>
              <w:t>5.1</w:t>
            </w:r>
          </w:p>
        </w:tc>
        <w:tc>
          <w:tcPr>
            <w:tcW w:type="dxa" w:w="3456"/>
          </w:tcPr>
          <w:p>
            <w:r>
              <w:t>N-CSR (FY2026 annual report), filed 2026-06-04</w:t>
            </w:r>
          </w:p>
        </w:tc>
        <w:tc>
          <w:tcPr>
            <w:tcW w:type="dxa" w:w="5184"/>
          </w:tcPr>
          <w:p>
            <w:r>
              <w:t>N-CSR 2026-06-04 accession 0001104659-26-070470 https://www.sec.gov/Archives/edgar/data/1876006/000110465926070470/tm2616630d1_ncsr.htm</w:t>
            </w:r>
          </w:p>
        </w:tc>
      </w:tr>
      <w:tr>
        <w:tc>
          <w:tcPr>
            <w:tcW w:type="dxa" w:w="720"/>
          </w:tcPr>
          <w:p>
            <w:r>
              <w:t>5.3</w:t>
            </w:r>
          </w:p>
        </w:tc>
        <w:tc>
          <w:tcPr>
            <w:tcW w:type="dxa" w:w="3456"/>
          </w:tcPr>
          <w:p>
            <w:r>
              <w:t>benchmark selection artifact (Ares Private Markets Fund)</w:t>
            </w:r>
          </w:p>
        </w:tc>
        <w:tc>
          <w:tcPr>
            <w:tcW w:type="dxa" w:w="5184"/>
          </w:tcPr>
          <w:p>
            <w:r>
              <w:t>accession not on record: no filing reference in the source field</w:t>
            </w:r>
          </w:p>
        </w:tc>
      </w:tr>
      <w:tr>
        <w:tc>
          <w:tcPr>
            <w:tcW w:type="dxa" w:w="720"/>
          </w:tcPr>
          <w:p>
            <w:r>
              <w:t>5.4</w:t>
            </w:r>
          </w:p>
        </w:tc>
        <w:tc>
          <w:tcPr>
            <w:tcW w:type="dxa" w:w="3456"/>
          </w:tcPr>
          <w:p>
            <w:r>
              <w:t>cohort artifact (evergreen private equity cohort)</w:t>
            </w:r>
          </w:p>
        </w:tc>
        <w:tc>
          <w:tcPr>
            <w:tcW w:type="dxa" w:w="5184"/>
          </w:tcPr>
          <w:p>
            <w:r>
              <w:t>accession not on record: no filing reference in the source field</w:t>
            </w:r>
          </w:p>
        </w:tc>
      </w:tr>
      <w:tr>
        <w:tc>
          <w:tcPr>
            <w:tcW w:type="dxa" w:w="720"/>
          </w:tcPr>
          <w:p>
            <w:r>
              <w:t>5.5</w:t>
            </w:r>
          </w:p>
        </w:tc>
        <w:tc>
          <w:tcPr>
            <w:tcW w:type="dxa" w:w="3456"/>
          </w:tcPr>
          <w:p>
            <w:r>
              <w:t>benchmark selection artifact (Ares Private Markets Fund)</w:t>
            </w:r>
          </w:p>
        </w:tc>
        <w:tc>
          <w:tcPr>
            <w:tcW w:type="dxa" w:w="5184"/>
          </w:tcPr>
          <w:p>
            <w:r>
              <w:t>accession not on record: no filing reference in the source field</w:t>
            </w:r>
          </w:p>
        </w:tc>
      </w:tr>
      <w:tr>
        <w:tc>
          <w:tcPr>
            <w:tcW w:type="dxa" w:w="720"/>
          </w:tcPr>
          <w:p>
            <w:r>
              <w:t>5.6</w:t>
            </w:r>
          </w:p>
        </w:tc>
        <w:tc>
          <w:tcPr>
            <w:tcW w:type="dxa" w:w="3456"/>
          </w:tcPr>
          <w:p>
            <w:r>
              <w:t>benchmark selection artifact (Ares Private Markets Fund)</w:t>
            </w:r>
          </w:p>
        </w:tc>
        <w:tc>
          <w:tcPr>
            <w:tcW w:type="dxa" w:w="5184"/>
          </w:tcPr>
          <w:p>
            <w:r>
              <w:t>accession not on record: no filing reference in the source field</w:t>
            </w:r>
          </w:p>
        </w:tc>
      </w:tr>
      <w:tr>
        <w:tc>
          <w:tcPr>
            <w:tcW w:type="dxa" w:w="720"/>
          </w:tcPr>
          <w:p>
            <w:r>
              <w:t>5.7</w:t>
            </w:r>
          </w:p>
        </w:tc>
        <w:tc>
          <w:tcPr>
            <w:tcW w:type="dxa" w:w="3456"/>
          </w:tcPr>
          <w:p>
            <w:r>
              <w:t>Supreme Court docket 25-498, https://www.supremecourt.gov/docket/docketfiles/html/public/25-498.html (grant date). SCOTUSblog case page, https://www.scotusblog.com/cases/anderson-v-intel-corp-investment-policy-comm/ and CRS Legal Sidebar LSB11396, https://www.congress.gov/crs-product/LSB11396 (question presented, argument term). Accessed 2026-09-04 through web-search snippets only.</w:t>
            </w:r>
          </w:p>
        </w:tc>
        <w:tc>
          <w:tcPr>
            <w:tcW w:type="dxa" w:w="5184"/>
          </w:tcPr>
          <w:p>
            <w:r>
              <w:t>accession not on record: no filing reference in the source field</w:t>
            </w:r>
          </w:p>
        </w:tc>
      </w:tr>
      <w:tr>
        <w:tc>
          <w:tcPr>
            <w:tcW w:type="dxa" w:w="720"/>
          </w:tcPr>
          <w:p>
            <w:r>
              <w:t>6.1</w:t>
            </w:r>
          </w:p>
        </w:tc>
        <w:tc>
          <w:tcPr>
            <w:tcW w:type="dxa" w:w="3456"/>
          </w:tcPr>
          <w:p>
            <w:r>
              <w:t>N-CSR (FY2026 annual report), filed 2026-06-04 - Notes 1, 2, 9; 486BPOS filed 2026-07-29 (exemptive orders, eligibility, tickers)</w:t>
            </w:r>
          </w:p>
        </w:tc>
        <w:tc>
          <w:tcPr>
            <w:tcW w:type="dxa" w:w="5184"/>
          </w:tcPr>
          <w:p>
            <w:r>
              <w:t>N-CSR 2026-06-04 accession 0001104659-26-070470 https://www.sec.gov/Archives/edgar/data/1876006/000110465926070470/tm2616630d1_ncsr.htm</w:t>
            </w:r>
          </w:p>
          <w:p>
            <w:r>
              <w:t>486BPOS 2026-07-29 accession 0001104659-26-088219 https://www.sec.gov/Archives/edgar/data/1876006/000110465926088219/tm2621209d1_486bpos.htm</w:t>
            </w:r>
          </w:p>
        </w:tc>
      </w:tr>
      <w:tr>
        <w:tc>
          <w:tcPr>
            <w:tcW w:type="dxa" w:w="720"/>
          </w:tcPr>
          <w:p>
            <w:r>
              <w:t>6.2</w:t>
            </w:r>
          </w:p>
        </w:tc>
        <w:tc>
          <w:tcPr>
            <w:tcW w:type="dxa" w:w="3456"/>
          </w:tcPr>
          <w:p>
            <w:r>
              <w:t>486BPOS base prospectus+SAI, filed 2026-07-29 (investment program, 80% policy); N-CSR filed 2026-06-04 (actual composition; derivative absence)</w:t>
            </w:r>
          </w:p>
        </w:tc>
        <w:tc>
          <w:tcPr>
            <w:tcW w:type="dxa" w:w="5184"/>
          </w:tcPr>
          <w:p>
            <w:r>
              <w:t>486BPOS 2026-07-29 accession 0001104659-26-088219 https://www.sec.gov/Archives/edgar/data/1876006/000110465926088219/tm2621209d1_486bpos.htm</w:t>
            </w:r>
          </w:p>
          <w:p>
            <w:r>
              <w:t>N-CSR 2026-06-04 accession 0001104659-26-070470 https://www.sec.gov/Archives/edgar/data/1876006/000110465926070470/tm2616630d1_ncsr.htm</w:t>
            </w:r>
          </w:p>
        </w:tc>
      </w:tr>
      <w:tr>
        <w:tc>
          <w:tcPr>
            <w:tcW w:type="dxa" w:w="720"/>
          </w:tcPr>
          <w:p>
            <w:r>
              <w:t>6.3</w:t>
            </w:r>
          </w:p>
        </w:tc>
        <w:tc>
          <w:tcPr>
            <w:tcW w:type="dxa" w:w="3456"/>
          </w:tcPr>
          <w:p>
            <w:r>
              <w:t>486BPOS filed 2026-07-29 - POTENTIAL CONFLICTS OF INTEREST + co-investment risk disclosure; N-CSR filed 2026-06-04 (related-party amounts; Fund Management interested-trustee table)</w:t>
            </w:r>
          </w:p>
        </w:tc>
        <w:tc>
          <w:tcPr>
            <w:tcW w:type="dxa" w:w="5184"/>
          </w:tcPr>
          <w:p>
            <w:r>
              <w:t>486BPOS 2026-07-29 accession 0001104659-26-088219 https://www.sec.gov/Archives/edgar/data/1876006/000110465926088219/tm2621209d1_486bpos.htm</w:t>
            </w:r>
          </w:p>
          <w:p>
            <w:r>
              <w:t>N-CSR 2026-06-04 accession 0001104659-26-070470 https://www.sec.gov/Archives/edgar/data/1876006/000110465926070470/tm2616630d1_ncsr.htm</w:t>
            </w:r>
          </w:p>
        </w:tc>
      </w:tr>
      <w:tr>
        <w:tc>
          <w:tcPr>
            <w:tcW w:type="dxa" w:w="720"/>
          </w:tcPr>
          <w:p>
            <w:r>
              <w:t>6.4</w:t>
            </w:r>
          </w:p>
        </w:tc>
        <w:tc>
          <w:tcPr>
            <w:tcW w:type="dxa" w:w="3456"/>
          </w:tcPr>
          <w:p>
            <w:r>
              <w:t>486BPOS base prospectus+SAI, filed 2026-07-29 (distributions/tax sections); N-CSR filed 2026-06-04, Note 9</w:t>
            </w:r>
          </w:p>
        </w:tc>
        <w:tc>
          <w:tcPr>
            <w:tcW w:type="dxa" w:w="5184"/>
          </w:tcPr>
          <w:p>
            <w:r>
              <w:t>486BPOS 2026-07-29 accession 0001104659-26-088219 https://www.sec.gov/Archives/edgar/data/1876006/000110465926088219/tm2621209d1_486bpos.htm</w:t>
            </w:r>
          </w:p>
          <w:p>
            <w:r>
              <w:t>N-CSR 2026-06-04 accession 0001104659-26-070470 https://www.sec.gov/Archives/edgar/data/1876006/000110465926070470/tm2616630d1_ncsr.htm</w:t>
            </w:r>
          </w:p>
        </w:tc>
      </w:tr>
      <w:tr>
        <w:tc>
          <w:tcPr>
            <w:tcW w:type="dxa" w:w="720"/>
          </w:tcPr>
          <w:p>
            <w:r>
              <w:t>6.5</w:t>
            </w:r>
          </w:p>
        </w:tc>
        <w:tc>
          <w:tcPr>
            <w:tcW w:type="dxa" w:w="3456"/>
          </w:tcPr>
          <w:p>
            <w:r>
              <w:t>N-CSR (FY2026 annual report), filed 2026-06-04, Note 4 (Administration/Transfer Agent/Distribution/Custodian agreements) + cover; SC TO-I filed 2026-06-01 (SS&amp;C tender administrator); 486BPOS filed 2026-07-29 (E&amp;Y address)</w:t>
            </w:r>
          </w:p>
        </w:tc>
        <w:tc>
          <w:tcPr>
            <w:tcW w:type="dxa" w:w="5184"/>
          </w:tcPr>
          <w:p>
            <w:r>
              <w:t>N-CSR 2026-06-04 accession 0001104659-26-070470 https://www.sec.gov/Archives/edgar/data/1876006/000110465926070470/tm2616630d1_ncsr.htm</w:t>
            </w:r>
          </w:p>
          <w:p>
            <w:r>
              <w:t>SC TO-I 2026-06-01 accession 0001104659-26-068976 https://www.sec.gov/Archives/edgar/data/1876006/000110465926068976/tm2616081d1_sctoi.htm</w:t>
            </w:r>
          </w:p>
          <w:p>
            <w:r>
              <w:t>486BPOS 2026-07-29 accession 0001104659-26-088219 https://www.sec.gov/Archives/edgar/data/1876006/000110465926088219/tm2621209d1_486bpos.htm</w:t>
            </w:r>
          </w:p>
        </w:tc>
      </w:tr>
    </w:tbl>
    <w:p>
      <w:r>
        <w:t>Data sources: SEC EDGAR filings (4 held for this product in the filing manifest, every row with its accession) and DOL EBSA Form 5500 data for the plan, shown under its anonymized label.</w:t>
      </w:r>
    </w:p>
    <w:p>
      <w:pPr>
        <w:pStyle w:val="Heading1"/>
      </w:pPr>
      <w:r>
        <w:t>Appendix: verbatim regulatory text</w:t>
      </w:r>
    </w:p>
    <w:p>
      <w:r>
        <w:t>verbatim Federal Register text is in this build. Federal Register document 2026-06178, fetched 2026-09-07T06:19:25+00:00, content hash aef7a94680824e5574780e1f614702189d9dafcf1fde58558ff3ac782d3dcd5a. Runs of whitespace inside a paragraph are collapsed to one space. Every paragraph below is the Federal Register text unchanged.</w:t>
      </w:r>
    </w:p>
    <w:p>
      <w:pPr>
        <w:pStyle w:val="Heading2"/>
      </w:pPr>
      <w:r>
        <w:t>Paragraph (g)</w:t>
      </w:r>
    </w:p>
    <w:p>
      <w:r>
        <w:t>(g) Performance. The plan fiduciary must appropriately consider a reasonable number of similar alternatives and determine that the risk-adjusted expected returns, over an appropriate time-horizon, of the designated investment alternative, net of anticipated fees and expenses, further the purposes of the plan by enabling participants and beneficiaries to maximize risk-adjusted returns on investment net of fees and expenses.</w:t>
      </w:r>
    </w:p>
    <w:p>
      <w:r>
        <w:t>(1) Example. Return— (i) Facts. The named fiduciary of a plan ( e.g., the plan sponsor or plan investment committee), working with a third-party investment advice fiduciary within the meaning of section 3(21)(A)(ii) of ERISA, considers three target date fund series. The investment advice fiduciary presents various risk measures for the named fiduciary to consider, including the Sharpe Ratio, a commonly used measure to assess risk-adjusted performance, and a risk-adjusted return measure that subtracts a risk penalty from returns. The investment advice fiduciary explains these concepts and their implications to the named fiduciary that then relies on this advice to select a target date fund series that has lower expected returns but lower expected risk, as measured by volatility. The named fiduciary makes this selection after considering the risk capacity of the plan's participants. The lower risk strategy that the named fiduciary selects has achieved higher risk-adjusted returns by including alternative assets with low correlations to stocks and bonds in its investment portfolio, thereby reducing the volatility of returns.</w:t>
      </w:r>
    </w:p>
    <w:p>
      <w:r>
        <w:t>(ii) Analysis. Plan fiduciaries, with the benefit of third-party investment advice when appropriate, need not select an investment with the highest returns, nor aim to achieve the highest possible returns. It is often prudent to select a lower-risk investment strategy with a lower expected return. Plan fiduciaries may wish to consider selecting investments that hold alternative assets with low correlations to stock and bonds in their portfolios for exactly this purpose of improving risk-adjusted returns.</w:t>
      </w:r>
    </w:p>
    <w:p>
      <w:r>
        <w:t>(iii) Conclusion. A plan fiduciary selecting a designated investment alternative should consider various risk metrics when evaluating investments. The plan fiduciary should seek to maximize returns, net of fees, for a given level of appropriate risk, consistent with the participants' likely needs over the course of the anticipated investment. By doing so, including by engaging and relying on third-party investment advice, as appropriate, to analyze and explain how to evaluate risk, the plan fiduciary shall be deemed to have satisfied the requirements of paragraph (g) of this section.</w:t>
      </w:r>
    </w:p>
    <w:p>
      <w:r>
        <w:t>(2) Example. Time horizon —(i) Facts. The named fiduciary of a plan ( e.g., the plan sponsor or plan investment committee) with a predominantly younger workforce, working with a third-party investment advice fiduciary within the meaning of section 3(21)(A)(ii) of ERISA, considers three target date fund series. The investment advice fiduciary analyzes the historical performance of each series over the past 1-, 3-, 5-, and 10-year periods. After considering the historical performance data for these periods, the named fiduciary adopts the investment advice fiduciary's recommendation to rely most heavily on the 10-year historical performance data as most probative for purposes of selecting the designated investment alternative.</w:t>
      </w:r>
    </w:p>
    <w:p>
      <w:r>
        <w:t>(ii) Analysis. A plan fiduciary, with the benefit of third-party investment advice fiduciaries, when appropriate, need not select an investment strategy with the highest returns during a short or most recent period of time. Given the long-term nature of retirement savings, it is often prudent to give greater weight to the long-term historical performance of possible designed investment alternatives over short-term performance.</w:t>
      </w:r>
    </w:p>
    <w:p>
      <w:r>
        <w:t>(iii) Conclusion. A plan fiduciary selecting a designated investment alternative should consider the appropriate time horizons for retirement savings. In so doing, the plan fiduciary should seek to maximize returns for a given level of appropriate risk, consistent with the participants' likely needs over the course of the anticipated investment, which, because of the long-term nature of retirement savings, may be a long time horizon, depending on the particular facts and circumstances. By doing so, including by engaging and relying on third-party investment advice, when appropriate, to analyze and explain how to evaluate past performance, the plan fiduciary shall be deemed to have satisfied the requirements of paragraph (g) of this section.</w:t>
      </w:r>
    </w:p>
    <w:p>
      <w:pPr>
        <w:pStyle w:val="Heading2"/>
      </w:pPr>
      <w:r>
        <w:t>Paragraph (h)</w:t>
      </w:r>
    </w:p>
    <w:p>
      <w:r>
        <w:t>(h) Fees. The plan fiduciary must consider a reasonable number of similar alternatives and determine that the fees and expenses of the designated investment alternative are appropriate, taking into account its risk-adjusted expected returns and any other value the designated investment alternative brings to furthering the purposes of the plan. For this purpose, the term “value” includes any benefits, features, or services other than risk-adjusted returns. Section 404(a)(1)(B) of ERISA and paragraph (h) of this section are not violated solely because the fiduciary does not select the alternative with the lowest fees and expenses from among the alternatives considered. For example, a prudent plan fiduciary could choose to pay more in exchange for greater services.</w:t>
      </w:r>
    </w:p>
    <w:p>
      <w:r>
        <w:t>(1) Example. Fees; Customer service —(i) Facts. The named fiduciary of a plan ( e.g., the plan sponsor or plan investment committee) considers five stock funds that follow similar strategies in passively tracking the same index. The named fiduciary evaluates the funds with the assistance of a third-party investment advice fiduciary within the meaning of section 3(21)(A)(ii) of ERISA and finds that the five funds have had similar historical risk-adjusted returns and liquidity, and that the funds have very different ratings for customer service and communication. The named fiduciary selects the fund with the highest fees and highest rating for customer service and communication. This fund offers knowledgeably staffed call centers dedicated to retirement plan investors, short wait times, clearly written investor communications, safe and easy online access for participants, and published surveys and ratings that demonstrate an exceptional commitment to customer service. The difference between the funds with lowest and highest fees is one quarter of one basis point.</w:t>
      </w:r>
    </w:p>
    <w:p>
      <w:r>
        <w:t>(ii) Analysis. A plan fiduciary must consider a reasonable number of similar alternatives before selecting a designated investment alternative. Although the determination of what constitutes a reasonable number is dependent upon the specific facts and circumstances of each case, section 404(a)(1)(B) of ERISA and paragraph (h) of this section do not require a plan fiduciary to consider every similar alternative available in the market. Likewise, whether alternatives are similar is dependent on the specific facts and circumstances of each case. After considering a reasonable number of similar alternatives, a plan fiduciary must determine that the fees and expenses of the designated investment alternative are appropriate, taking into account its expected risk-adjusted returns and the value the designated investment alternative brings in furthering the purposes of the plan. All else being equal, a plan fiduciary must rely on the value proposition of a designated investment alternative with higher fees and expenses than similar alternatives with lower fees and expenses when choosing that designated investment alternative.</w:t>
      </w:r>
    </w:p>
    <w:p>
      <w:r>
        <w:t>(iii) Conclusion. The named fiduciary in this example does not fail to satisfy section 404(a)(1)(B) of ERISA and paragraph (h) of this section solely because it did not select the alternative with the lowest fees and expenses. The named fiduciary enlisted the services of an investment advice fiduciary within the meaning of section 3(21)(A)(ii) of ERISA. The named fiduciary considered and determined that the five specific alternatives were a reasonable number of alternatives to have considered, taking into account the role of the designated investment alternative in furthering the purposes of the plan, their similar strategies, historical performance, and liquidity. In addition, the named fiduciary considered and determined that the higher fees and expenses are appropriate considering the value of increased customer service and communication.</w:t>
      </w:r>
    </w:p>
    <w:p>
      <w:r>
        <w:t>(2) Example. Fees; Share classes —(i) Facts. A plan sponsor decides to establish a participant-directed defined contribution plan. The plan document specifies that the director of human resources is the named fiduciary of the plan and responsible for the establishment of the plan investment menu and selection and monitoring of designated investment alternatives. The named fiduciary does not enlist the services of an investment advice fiduciary within the meaning of section 3(21)(A)(ii) of ERISA, an investment manager within the meaning of section 3(38) of ERISA, or any other type of professional consultant. The named fiduciary purchases a subscription to an independent analysis ratings firm to research investment options before making a selection. The service rates funds overall but does not attach ratings to different share classes of the same fund. After a few years, the named fiduciary decides to replace one of the plan's designated investment alternatives with a new fund, and to move participant investments from the old designated investment alternative to the new fund pursuant to ERISA section 404(c)(4). The new fund selected by the named fiduciary has high ratings from the service to which the named fiduciary subscribes and is a registered investment company within the meaning of the Investment Company Act of 1940. The named fiduciary makes a substantial investment in class R2 shares of the fund. The named fiduciary does not consider any differences in share classes offered by this fund. The fund offers multiple share classes, including multiple R share classes. Class R2 shares have substantially higher fees than class R6 shares. Based on the amount of the investment, the named fiduciary could have purchased class R6 shares without any negotiation or additional expenditure of plan assets or resources. Except for fee structures, both share classes are identical in terms of shareholder rights and obligations.</w:t>
      </w:r>
    </w:p>
    <w:p>
      <w:r>
        <w:t>(ii) Analysis. A fiduciary must consider a reasonable number of similar alternatives and determine that the fees and expenses of the designated investment alternative are appropriate, taking into account the designated investment alternative's risk-adjusted expected returns and any other value the designated investment alternative brings to furthering the purposes of the plan. The named fiduciary failed to give any consideration to the differences in fees between the various share classes of the fund, even though the size of the investment met the fund's criteria for the lower fee share classes without any negotiation or additional expenditure of plan assets or resources. Class R6 shares have a superior value proposition to class R2 shares because both share classes are identical in all respects except that class R6 shares have lower fees.</w:t>
      </w:r>
    </w:p>
    <w:p>
      <w:r>
        <w:t>(iii) Conclusion. The facts in this example do not establish that the named fiduciary satisfied section 404(a)(1)(B) of ERISA and paragraph (h) of this section when selecting the designated investment alternative. The selection process appears to be flawed because the named fiduciary failed to consider the difference in fee structures among the various share classes. A prudent selection process would ordinarily uncover the existence of more economical share class options for the plan.</w:t>
      </w:r>
    </w:p>
    <w:p>
      <w:r>
        <w:t>(3) Example. Fees; Lifetime income —(i) Facts. A plan sponsor makes a plan design decision to add a lifetime income benefit to its existing participant-directed individual account plan. The named fiduciary of the plan selects an asset allocation fund offered through a variable annuity contract to implement the plan sponsor's decision. The new designated investment alternative is similar in all material respects—risk, return, liquidity, and allocation profile—to another designated investment alternative already on the plan investment menu except that the designated investment alternative already on the plan investment menu does not offer lifetime income through a variable annuity contract. The two designated investment alternatives have the same expense ratio, but the designated investment alternative offered through the variable annuity contract has an additional fee associated with the ability of participants to select the lifetime income feature. The additional fee typically secures more favorable annuity conversion rates throughout the life of the contract than would be available outside of the contract. The named fiduciary consults with an investment advice fiduciary within the meaning of section 3(21)(A)(ii) of ERISA. The investment advice fiduciary analyzes the annuity market generally, as well as the break-even ages and additional fee of the designated investment alternative, which analysis the named fiduciary critically evaluates and adopts in determining, within its discretion, that the designated investment alternative with the lifetime income benefit provides commensurate value for the fees charged.</w:t>
      </w:r>
    </w:p>
    <w:p>
      <w:r>
        <w:t>(ii) Analysis. The named fiduciary must act prudently when implementing the plan sponsor's decision to add a lifetime income benefit to the plan. Although the named fiduciary must appropriately consider a reasonable number of similar alternatives, the designated investment alternative already on the plan investment menu satisfies this standard because it is both sufficiently different from the designated investment alternative being added to the plan investment menu due to its lifetime income benefit feature and sufficiently comparable because it is identical in each other material respect. The lifetime income feature has added value to the plan and therefore justifies higher total fees than the designated investment alternative without this feature.</w:t>
      </w:r>
    </w:p>
    <w:p>
      <w:r>
        <w:t>(iii) Conclusion. The named fiduciary in this example did not act imprudently by adding the new designated investment alternative to the plan investment menu solely because it has higher fees than the similar designated investment alternative without the lifetime income benefit feature that is already on the plan investment menu. To satisfy the consideration and determination requirements under paragraph (h) of this section, and section 404(a)(1)(B) of ERISA, the named fiduciary considered and determined that the additional fee under the variable annuity contract is appropriate in relation to the value it brings to furthering the purposes of the plan.</w:t>
      </w:r>
    </w:p>
    <w:p>
      <w:r>
        <w:t>(4) Example. Fees; Risk mitigation strategies —(i) Facts. A participant-directed defined contribution plan contains a custom-designed designated investment alternative that is a qualified default investment alternative (target date fund), managed by an investment manager within the meaning of ERISA section 3(38), with a strategy that targets specific percentages of stocks and bonds that trade on public exchanges. As part of a review of the plan's investment menu, the named fiduciary with responsibility for selecting the qualified default investment alternative considers the investment manager's proposed modification of the designated investment alternative's strategy to target investment in specific percentages of hedge funds and private equity funds while reducing target percentages of publicly traded stocks and bonds. The purpose of the modification is risk mitigation—meaning, to decrease volatility and reduce the risk of large losses during a market downturn. Under certain market conditions, a potential consequence is the designated investment alternative may underperform as compared to the continued use of the unmodified strategy, but it provides downside protection as an additional value. The named fiduciary enlists the services of a third-party investment advice fiduciary within the meaning of section 3(21)(A)(ii) of ERISA to analyze the new target percentages and the hedge fund and private equity funds for investment by the designated investment alternative, as well as detailed information about the investment strategies and fee structures of these funds. The third-party investment advice fiduciary also provides the named fiduciary with a written report stochastically modeling estimated risk-adjusted returns stemming from the adoption of the modifications and comparing the target date fund, as modified, to a reasonable number of similar alternatives. Although the designated investment alternative's expense ratio would increase slightly, the report shows an improvement in the risk-adjusted expected returns, net of fees, over a horizon determined to be appropriate for the target date fund.</w:t>
      </w:r>
    </w:p>
    <w:p>
      <w:r>
        <w:t>(ii) Analysis. In this example, the named fiduciary is not making an original selection of a designated investment alternative. Yet because the change in strategy proposed by the investment manager implicates the principal objectives of the target date fund, implementing the described modification is tantamount to selecting a designated investment alternative from scratch. Consequently, the named fiduciary must consider a reasonable number of similar alternatives to the target date fund, as modified, and determine that its fees and expenses are appropriate, taking into account its risk-adjusted expected returns and any other value it brings to furthering the purposes of the plan. That the target date fund is customized does not negate the requirement to appropriately consider a reasonable number of similar alternatives. Whether the alternatives considered are similar depends on the facts and circumstances of the case. Factors commonly used by investment professionals in like circumstances include risk, return, liquidity, and allocation profile.</w:t>
      </w:r>
    </w:p>
    <w:p>
      <w:r>
        <w:t>(iii) Conclusion. The named fiduciary in this example satisfies the consideration and determination requirements of paragraph (h) of this section, and section 404(a)(1)(B) of ERISA, with respect to the fees and expenses of the target date fund as modified. The named fiduciary enlisted the services of an investment advice fiduciary. The investment advice fiduciary provided the named fiduciary with a written report stochastically modeling estimated risk-adjusted returns stemming from the adoption of the modifications and comparing the target date fund, as modified, to a reasonable number of similar alternatives. The named fiduciary considered and determined within its discretion that the modification to the target date fund to include the risk mitigation strategy furthered the purposes of the plan, including decreasing volatility and reducing the risk of large losses during a market downturn. In addition, the named fiduciary considered and determined, within its discretion, that the higher expense ratio associated with the modification was appropriate in light of the estimated higher risk-adjusted expected returns, net of fees and expenses, over an appropriate horizon for the target date fund.</w:t>
      </w:r>
    </w:p>
    <w:p>
      <w:r>
        <w:t>(5) Example. Fees; Active management —(i) Facts. The named fiduciary of a plan ( e.g., the plan sponsor or plan investment committee) considers six small-cap stock funds. Three of the funds passively track the same index while three of the funds are actively managed, attempting to outperform the passive index. The passive funds are all comparably priced to each other, and the actively managed funds are comparably priced to each other. However, the actively managed funds all have higher fees and expenses than the passive funds. The named fiduciary evaluates the funds with the assistance of a third-party investment advice fiduciary within the meaning of section 3(21)(A)(ii) of ERISA and finds that one of the passive funds has had lower tracking error and fees compared to the other two passive funds and one of the actively managed funds has had outstanding historical risk-adjusted returns compared to all of the passive funds as well as the other two actively managed funds, despite the other two actively managed funds having adopted a similar investment strategy. The named fiduciary selects both the highest performing actively managed fund as well as the passive fund with lowest tracking error and fees based on advice from the third-party investment advice fiduciary that allowing participants to gain exposure to actively managed and passive funds will increase their risk-adjusted return on investment net of the additional fees charged by the actively managed fund.</w:t>
      </w:r>
    </w:p>
    <w:p>
      <w:r>
        <w:t>(ii) Analysis. The named fiduciary must consider a reasonable number of similar alternatives to the funds it selects, and determine that their fees and expenses are appropriate, taking into account their risk-adjusted expected returns and any other value they bring to furthering the purposes of the plan. A plan fiduciary may choose to offer both an actively managed and a passive fund within a particular strategy to secure diversification benefits for participants across the plan investment menu. In so doing, the plan fiduciary may conclude that the value of these diversification benefits justifies the selection of an actively managed fund that charges higher fees than a passive counterpart.</w:t>
      </w:r>
    </w:p>
    <w:p>
      <w:r>
        <w:t>(iii) Conclusion. The named fiduciary in this example satisfies the consideration and determination requirements of paragraph (h) of this section, and section 404(a)(1)(B) of ERISA, with respect to the fees and expenses of both funds. The named fiduciary enlisted the services of an investment advice fiduciary. The investment advice fiduciary fully compared and analyzed the profiles of the actively managed and passive funds. The investment advice fiduciary also provided the named fiduciary with professional advice about the benefits of diversified portfolios. The named fiduciary considered and determined, within its discretion, that selecting the highest performing actively managed and passive funds furthered the purposes of the plan by increasing risk-adjusted return through the increased value of additional diversification.</w:t>
      </w:r>
    </w:p>
    <w:p>
      <w:pPr>
        <w:pStyle w:val="Heading2"/>
      </w:pPr>
      <w:r>
        <w:t>Paragraph (i)</w:t>
      </w:r>
    </w:p>
    <w:p>
      <w:r>
        <w:t>(i) Liquidity. The fiduciary must appropriately consider and determine that the designated investment alternative will have sufficient liquidity to meet the anticipated needs of the plan at both the plan and individual levels. For example, because participant-directed individual account plans are long-term retirement savings vehicles, particularly for participants early in their careers, there is no requirement that a fiduciary select only fully liquid products. Indeed, a prudent fiduciary process may regularly lead to a decision to sacrifice some plan- or individual-level liquidity, or both, in pursuit of additional risk-adjusted return.</w:t>
      </w:r>
    </w:p>
    <w:p>
      <w:r>
        <w:t>(1) Example. Participant-level liquidity —(i) Facts. Certain participant-level events, depending on the terms of the plan, may trigger a plan's need for immediate liquidity. Examples of these events include, but are not limited to, participant benefit withdrawals due to retirement, separation from service, or financial hardship, asset reallocations or reinvestments to other designated investment alternatives in the case of plans intended to meet the requirements of section 404(c) of ERISA, and plan loans.</w:t>
      </w:r>
    </w:p>
    <w:p>
      <w:r>
        <w:t>(ii) Analysis. Plan fiduciaries must give consideration to the potential for such events when selecting designated investment alternatives, especially qualified default investment alternatives (as defined in 29 CFR 2550.404c-5), for a plan investment menu. Further, on the basis of such consideration, the plan fiduciary must determine that the designated investment alternative, at the time of selection, will have sufficient liquidity to meet the anticipated liquidity needs of the plan.</w:t>
      </w:r>
    </w:p>
    <w:p>
      <w:r>
        <w:t>(iii) Conclusion. The participant-level liquidity needs of a given plan depend on the type of plan at issue, its features, and the overall profile of the participants and beneficiaries of the plan as a whole, particularly with respect to a qualified default investment alternative (as defined in 29 CFR 2550.404c-5), as well as, to the extent they are different, the participants and beneficiaries likely to select the particular designated investment alternative under review. A plan fiduciary, however, is deemed to have met the consideration and determination requirements of paragraph (i) of this section, and section 404(a)(1)(B) of ERISA, with respect to the participant-level liquidity needs of a given plan in connection with a given designated investment alternative (including one that holds a percentage of assets that are not securities, non-publicly traded securities, or securities acquired in exempt offerings) that is a mutual fund registered as an open-end management investment company with the U.S. Securities and Exchange Commission under the Investment Company Act of 1940. Such mutual funds are required by rules under such Act to adopt and implement a written liquidity risk management program that is designed to assess and manage their liquidity risk. In the case of a designated investment alternative that is not such a mutual fund, a plan fiduciary will be deemed to have met the consideration and determination requirements of paragraph (i) of this section and section 404(a)(1)(B) of ERISA if three conditions are met. First, the fiduciary obtains a written representation from the person responsible for managing the designated investment alternative, or otherwise performs appropriate due diligence, that the designated investment alternative has adopted and implemented a liquidity risk management program that is substantially similar to a program that meets the requirements of such Act. Second, the fiduciary reads, critically reviews, and understands any written representation and consults a qualified professional where appropriate. Third, the fiduciary does not know, or have reason to know, other information which would cause the fiduciary to question any written representation.</w:t>
      </w:r>
    </w:p>
    <w:p>
      <w:r>
        <w:t>(2) Example. Participant level liquidity; lifetime income —(i) Facts. The investment policy statement of a participant-directed individual account plan calls for lifetime income options on the plan investment menu. The named fiduciary selects several designated investment alternatives with such features, including a deferred annuity contract. Allocations to this contract, which are made on a monthly basis, grow at a rate specified under the contract, and monthly payments for life begin when the participant reaches age 65. Allocations to this contract become fully committed after 90 days and any immediate withdrawals by a participant before age 65 result in a penalty and a market value adjustment to the value of the annuity that begins at age 65. The restrictions on liquidity throughout the growth period enable greater monthly payments at age 65.</w:t>
      </w:r>
    </w:p>
    <w:p>
      <w:r>
        <w:t>(ii) Analysis. Paragraph (i) of this section clarifies that plan fiduciaries must appropriately consider the potential participant-level events that may trigger a plan's need for immediate liquidity, and must determine that the designated investment alternative, at the time of selection, will have sufficient liquidity to meet the anticipated liquidity needs of the plan. When assessing the liquidity needs of the plan, the plan fiduciary in this example must balance the restrictions on liquidity under the annuity contract with the value of the guaranteed monthly payments under the annuity contract, recognizing that such guarantees help plan participants manage investment and longevity risk. The fact that a designated investment alternative is fully allocated to an illiquid product, like an annuity, does not foreclose its selection, including, for example, where the fiduciary determines within its discretion that the lack of liquidity is justified by a commensurate expected increase in return on investment, certainty with respect to future payments, or both.</w:t>
      </w:r>
    </w:p>
    <w:p>
      <w:r>
        <w:t>(iii) Conclusion. In this example, the named fiduciary would satisfy the consideration and determination requirements of paragraph (i) of this section, and section 404(a)(1)(B) of ERISA, with respect to the designated investment alternative in question if the named fiduciary concluded that the increase in the value of the monthly payments and the certainty of the insurer's guarantee under the annuity contract justified the restrictions on liquidity.</w:t>
      </w:r>
    </w:p>
    <w:p>
      <w:r>
        <w:t>(3) Example. Plan-level liquidity —(i) Facts. Plan terminations, changes in plan recordkeepers or investment providers, and corporate sponsor mergers and acquisitions are examples of circumstances that may impose relatively short-term liquidity demands on a plan's designated investment alternatives. This is especially true in the case of a designated investment alternative (such as a pooled investment vehicle) with a strategy involving a target position in certain private assets along with public assets ( e.g., publicly traded securities). With such designated investment alternatives, a specific plan's (or, in a pooled investment product, other plan's or non-plan investors') need for relatively short-term liquidity ( e.g., when the investor wants to exit the investment) may present significant liquidity risk to the designated investment alternative as a whole such that it cannot maintain its asset allocation targets. Thus, in such circumstances, designated investment alternatives may or must impose temporal restrictions on redemptions ( e.g., they might require advance notice and permit only incremental redemptions over a period of time). When fulfilling withdrawals, particularly large withdrawals, diversified designated investment alternatives may temporarily deviate from their target asset allocations. For example, a designated investment alternative that is designed to have a 90 percent allocation to fully liquid instruments may have to temporarily accept a lower allocation to fully liquid instruments to satisfy a large withdrawal.</w:t>
      </w:r>
    </w:p>
    <w:p>
      <w:r>
        <w:t>(ii) Analysis. Plan fiduciaries must give consideration to, and determine, that the scope and duration of redemption restrictions at the plan level meet the anticipated needs of the plan. This includes whether the designated investment alternative has a sufficient process in place to balance the plan's potential need for withdrawal against the plan's desire for the designated investment alternative to maintain smooth and consistent target positions, including following a significant withdrawal of investors other than the plan.</w:t>
      </w:r>
    </w:p>
    <w:p>
      <w:r>
        <w:t>(iii) Conclusion. A plan fiduciary is deemed to have met the consideration and determination requirements of paragraph (i) of this section, and section 404(a)(1)(B) of ERISA, with respect to the plan-level liquidity needs of a given plan in connection with a given designated investment alternative (including one that holds a percentage of assets that are not securities, non-publicly traded securities, or securities acquired in exempt offerings) in either of the two following scenarios.</w:t>
      </w:r>
    </w:p>
    <w:p>
      <w:r>
        <w:t>(A) In the first scenario, the plan fiduciary evaluates, including, if appropriate, with the advice of a third-party investment advice fiduciary within the meaning of section 3(21)(A)(ii) of ERISA, in concert, the maximum that the designated investment alternative will allocate to illiquid investments, the time until such investments could likely be sold without reducing their value, the time until such investments will return capital to their investors, and the required advance notice plans must give before exiting the designated investment alternative. After this evaluation, the plan fiduciary concludes that the designated investment alternative will appropriately balance the future liquidity needs of the plan, the ability of the designated investment alternative to achieve increased risk-adjusted return on investment, and the ability to maintain its asset allocation targets even if there were redemptions from multiple plans or non-plan investors.</w:t>
      </w:r>
    </w:p>
    <w:p>
      <w:r>
        <w:t>(B) In the second scenario, the plan fiduciary relies on the fact that the designated investment alternative is a mutual fund registered as an open-end management investment company with the SEC under the Investment Company Act of 1940, which is required by rules under such Act to adopt and implement a written liquidity risk management program that is designed to assess and manage their liquidity risk. If the designated investment alternative is not such a fund, the fiduciary must meet three conditions. First, the fiduciary obtains a written representation from the person responsible for managing the designated investment alternative, or otherwise performs appropriate due diligence, that the designated investment alternative has adopted and implemented a liquidity risk management program that is substantially similar to a program that meets the liquidity risk management requirements under such Act. Second, the fiduciary reads, critically reviews, and understands any written representation and consults a qualified professional where appropriate. Third, the fiduciary does not know, or have reason to know, other information which would cause the fiduciary to question any written representation.</w:t>
      </w:r>
    </w:p>
    <w:p>
      <w:r>
        <w:t>(4) Example. Participant and plan-level liquidity —(i) Facts. A participant-directed individual account plan offers a designated investment alternative that is a pooled investment vehicle with an investment strategy involving target positions in particular types of assets, including holdings in private assets. According to written representations from the person responsible for managing the product, it is structured so that the timing of the product's ability to liquidate private-asset investments aligns generally with the redemption rights of plans investing in the product. Representations also are made that the product permits quarterly redemptions by investors and does not otherwise impose any specific limits or restrictions on timing or payment of redemptions. For individual participants, representations are made to the plan fiduciary that the designated investment alternative has adopted and implemented a liquidity risk-management program that imposes requirements substantially similar to the requirements related to liquidity risk management programs for mutual funds registered as open-end management investment companies with the SEC under the Investment Company Act of 1940. The fiduciary reads, critically reviews, and understands the written representations and consults a third-party investment advice fiduciary within the meaning of section 3(21)(A)(ii) of ERISA. The fiduciary does not know, or have reason to know, other information which would cause the fiduciary to question the written representations.</w:t>
      </w:r>
    </w:p>
    <w:p>
      <w:r>
        <w:t>(ii) Analysis. The example in paragraph (i)(1) of this section clarifies that plan fiduciaries must appropriately consider the potential participant-level events that may trigger a plan's need for immediate liquidity, and must determine that the designated investment alternative, at the time of selection, will have sufficient liquidity to meet the anticipated liquidity needs of the plan. Similarly, the example in paragraph (i)(3) of this section clarifies that plan fiduciaries must appropriately consider, and determine, that the scope and duration of redemption restrictions at the plan level meet the anticipated needs of the plan.</w:t>
      </w:r>
    </w:p>
    <w:p>
      <w:r>
        <w:t>(iii) Conclusion. A plan fiduciary is deemed to have met the consideration and determination requirements of paragraph (i) of this section, and section 404(a)(1)(B) of ERISA, with respect to the participant-level and plan-level liquidity needs of a given plan in connection with a given designated investment alternative when the fiduciary determines within its discretion that the redemption structures under the product are appropriate to the needs of the plan after giving due consideration, including, where applicable, with the benefit of analysis of professional advisors, to the specific needs of the plan, including its need to maximize risk-adjusted return on investment.</w:t>
      </w:r>
    </w:p>
    <w:p>
      <w:pPr>
        <w:pStyle w:val="Heading2"/>
      </w:pPr>
      <w:r>
        <w:t>Paragraph (j)</w:t>
      </w:r>
    </w:p>
    <w:p>
      <w:r>
        <w:t>(j) Valuation. The fiduciary must appropriately consider and determine that the designated investment alternative has adopted adequate measures to ensure that the designated investment alternative is capable of being timely and accurately valued in accordance with the needs of the plan.</w:t>
      </w:r>
    </w:p>
    <w:p>
      <w:r>
        <w:t>(1) Example. Valuation; Public exchanges —(i) Facts. A participant-directed individual account plan offers a designated investment alternative that allows participants to acquire shares of a mutual fund registered as an open-end management investment company with the SEC under the Investment Company Act. Except for necessary cash reserves for operating expenses, all the underlying investments of the designated investment alternative trade daily on a public exchange. The exchange is a national securities exchange which is regulated under section 6 of the Securities Exchange Act of 1934.</w:t>
      </w:r>
    </w:p>
    <w:p>
      <w:r>
        <w:t>(ii) Analysis. For purposes of determining the prudence of an investment, plan fiduciaries may rely on asset valuations derived from a national securities exchange or another similar, public exchange to the extent the exchange constitutes a generally recognized market through which the value of the investment is readily and accurately determinable in a timely manner.</w:t>
      </w:r>
    </w:p>
    <w:p>
      <w:r>
        <w:t>(iii) Conclusion. The plan fiduciary is deemed to have met the consideration and determination requirements of paragraph (j) of this section, and section 404(a)(1)(B) of ERISA, with respect to this designated investment alternative, provided that the alternative's organizational documents or prospectus indicate that its value is determined in all material respects by reference to the price of the security as reflected on the exchange at the time of the valuation.</w:t>
      </w:r>
    </w:p>
    <w:p>
      <w:r>
        <w:t>(2 ) Example. Valuation; FASB 820 —(i) Facts. A participant-directed individual account plan offers a designated investment alternative that invests in some securities that trade daily on a public exchange and some securities for which there is not a generally recognized market. The manager of the designated investment alternative represents in writing that the securities for which there is not a generally recognized market are valued through a conflict-free, independent process no less frequently than quarterly, according to procedures that satisfy the Financial Accounting Standards Board Accounting Standards Codification 820, titled Fair Value Measurements (or any successor standard). The current value of each share of the designated investment alternative is then communicated in writing to the named fiduciary of the plan.</w:t>
      </w:r>
    </w:p>
    <w:p>
      <w:r>
        <w:t>(ii) Analysis. For purposes of determining the prudence of an investment, plan fiduciaries may rely on asset valuations that result from the application of generally recognized procedures for measuring the fair value of assets for purposes of disclosure in financial statements prepared in accordance with U.S. generally accepted accounting principles, if applied through a conflict-free, independent process with respect to acquisition, disposition, or management of the assets.</w:t>
      </w:r>
    </w:p>
    <w:p>
      <w:r>
        <w:t>(iii) Conclusion. The named fiduciary of this plan is deemed to have met the consideration and determination requirements of paragraph (j) of this section, and section 404(a)(1)(B) of ERISA, with respect to this designated investment alternative under the following scenario. First, the named fiduciary reads, critically reviews, and understands the written representation, or otherwise performs appropriate due diligence on the valuation process, and consults a qualified professional where appropriate. Second, the named fiduciary does not know, or have reason to know, other information which would cause the named fiduciary to question any written representation. This conclusion would not change solely because the designated investment alternative permits its manager, acting in good faith, to adopt alternative valuation procedures if the manager determines and documents a temporary emergency that could result in a negative impact on investors if the generally applicable valuation procedures are followed ( e.g., if investors would be able to redeem their interests based on a valuation that the manager believes is inflated and that would result in a significant harm to remaining investors).</w:t>
      </w:r>
    </w:p>
    <w:p>
      <w:r>
        <w:t>(3) Example. Valuation; SEC rules —(i) Facts. A participant-directed individual account plan offers a designated investment alternative that is a mutual fund registered as an open-end management investment company with the SEC under the Investment Company Act of 1940 and that contains some securities that trade daily on a public exchange and some securities for which there is not a generally recognized market. Under the Investment Company Act and rules thereunder, among other things, mutual funds are required to have audited financial statements prepared in accordance with generally accepted accounting principles. These audited financial statements include an auditor's report. The fiduciary reviews the fund's publicly-available financial statements and valuation-related disclosures to confirm compliance with all applicable requirements under the Investment Company Act related to pricing and valuation of its shares, or otherwise performs appropriate due diligence. The fiduciary also reviews the fund's Form N-1A prospectus disclosures to confirm that a majority of the fund's board is independent.</w:t>
      </w:r>
    </w:p>
    <w:p>
      <w:r>
        <w:t>(ii) Analysis. For purposes of determining the prudence of an investment that is governed by the Investment Company Act, plan fiduciaries may rely on asset valuations that result from the application of reasonable valuation procedures adopted to comply with the Investment Company Act and rules thereunder.</w:t>
      </w:r>
    </w:p>
    <w:p>
      <w:r>
        <w:t>(iii) Conclusion. The plan fiduciary of this plan is deemed to have met the consideration and determination requirements of paragraph (j) of this section, and section 404(a)(1)(B) of ERISA, with respect to this designated investment alternative under the following scenario. First, the fiduciary reads the fund's publicly available audited financial statements and valuation-related disclosures, or otherwise performs appropriate due diligence on the valuation process, and consults a qualified professional as appropriate. Second, the fiduciary does not know, or have reason to know, other information which would cause the fiduciary to question the veracity of the audited financial statements.</w:t>
      </w:r>
    </w:p>
    <w:p>
      <w:r>
        <w:t>(4) Example. Valuation; Conflicts of interest —(i) Facts. The plan document for a participant-directed individual account plan specifies that the plan sponsor's chief financial officer is the named fiduciary of the plan and responsible for the establishment of the plan investment menu and selection and monitoring of designated investment alternatives. The named fiduciary selects as a designated investment alternative (or part of a broader investment alternative) a continuation fund (Fund) managed or controlled by an entity (Manager) that has recently acquired or contemplates an imminent acquisition of assets from an investment vehicle, such as another fund or vehicle with alternative assets, that is managed or controlled by the Manager or an affiliate of the Manager. The assets that were or will be purchased for the Fund from the investment vehicle do not trade on a public exchange and lack readily observable market prices, and the Manager was or will be able to control or influence—directly or indirectly—the price or other material terms on which the assets are transferred to the Fund. The Manager represents to the named fiduciary that valuation of the purchased assets is based on application of its proprietary valuation methods that rely on inputs provided by the Manager or its affiliates.</w:t>
      </w:r>
    </w:p>
    <w:p>
      <w:r>
        <w:t>(ii) Analysis. The named fiduciary must assess whether the assets have been or will be valued through a conflict-free and independent process. When a designated investment alternative is a continuation fund that has recently acquired or contemplates an imminent acquisition of assets in a transaction that may be materially and adversely affected by a significant conflict of interest, the fiduciary must determine that the conflict of interest has not and will not render the designated investment alternative's valuation inaccurate. The facts do not demonstrate that the fiduciary can make this determination.</w:t>
      </w:r>
    </w:p>
    <w:p>
      <w:r>
        <w:t>(iii) Conclusion. The facts in this example do not establish that the named fiduciary satisfied section 404(a)(1)(B) of ERISA and paragraph (j) of this section when selecting the designated investment alternative.</w:t>
      </w:r>
    </w:p>
    <w:p>
      <w:pPr>
        <w:pStyle w:val="Heading2"/>
      </w:pPr>
      <w:r>
        <w:t>Paragraph (k)</w:t>
      </w:r>
    </w:p>
    <w:p>
      <w:r>
        <w:t>(k) Performance benchmark. The plan fiduciary must appropriately consider and determine that each designated investment alternative has a meaningful benchmark, and compare the risk-adjusted expected returns of the designated investment alternative to the meaningful benchmark. There may be more than one meaningful benchmark for a designated investment alternative, however no single benchmark is a meaningful benchmark for all designated investment alternatives on a plan investment menu. A “meaningful benchmark” is an investment, strategy, index, or other comparator that has similar mandates, strategies, objectives, and risks to the designated investment alternative. The “risk-adjusted expected returns” of the designated investment alternative may be determined based on its historical performance unless it has none, in which case it may be determined based on the historical performance of a different investment with similar mandates, strategies, objectives, and risks and that is not the meaningful benchmark. While a plan fiduciary should identify benchmarks that are as meaningful as possible, there is no presumption or preference against new or innovative designated investment alternative designs. Instead, when considering a new or innovative product design, a fiduciary should seek to identify the best possible comparators to it while also scrutinizing the potential value proposition presented by the new or innovative design.</w:t>
      </w:r>
    </w:p>
    <w:p>
      <w:r>
        <w:t>(1) Example. Benchmark; Misalignment of strategies —(i) Facts. A participant-directed individual account plan offers a designated investment alternative that is a target date fund with an investment strategy and long-term objective of investing in different asset classes with varying degrees of risk, and which gradually becomes more conservative over time by adjusting the mix of asset classes. To compare the risk-adjusted expected returns of the target date fund to a meaningful benchmark, the named fiduciary compares the returns to a benchmark that is an index that only tracks the returns of large capitalization U.S. equities even though other benchmarks with more similarities to the designated investment alternative were readily available.</w:t>
      </w:r>
    </w:p>
    <w:p>
      <w:r>
        <w:t>(ii) Analysis. Paragraph (k) of this section provides that a “meaningful benchmark” is an investment, strategy, index, or other comparator that has similar mandates, strategies, objectives, and risks to the designated investment alternative.</w:t>
      </w:r>
    </w:p>
    <w:p>
      <w:r>
        <w:t>(iii) Conclusion. The facts in this example do not establish that the named fiduciary satisfied section 404(a)(1)(B) of ERISA and paragraph (k) of this section when selecting the designated investment alternative because the strategies of the benchmark are not similar to the investment strategy of the target-date fund and other benchmarks with more similarities were readily available.</w:t>
      </w:r>
    </w:p>
    <w:p>
      <w:r>
        <w:t>(2) Example. Custom composite benchmark; Private equity sleeve —(i) Facts. The named fiduciary of a participant-directed individual account plan selects as a designated investment alternative an asset allocation fund, which is registered under the Investment Company Act of 1940, that contains a private equity sleeve in addition to publicly traded stocks and bonds. In making this selection, the named fiduciary prudently enlists the assistance of an investment advice fiduciary within the meaning of section 3(21)(A)(ii) of ERISA. The investment advice fiduciary, who has no affiliation with the asset allocation fund, recommends the designated investment after creating a composite benchmark against which to measure risk-adjusted expected returns of the sleeves of the designated investment alternative. For the publicly traded stock and bond sleeves, the composite benchmark blends the performance of broad-based securities market indices reflective of and in proportion to the stock and bond holdings of the designated investment alternative. For the private equity sleeve, the investment advice fiduciary uses a combination of methodologies commonly used by investment professionals, including the internal rate of return method and a public market equivalent method, and presents these measures with explanations of how to interpret them to monitor the designated investment alternative's performance over time. The investment advice fiduciary also provides the named fiduciary with a written explanation of the composite benchmark. The named fiduciary reads, critically reviews, and understands the written explanation, and does not know, or have reason to know, other information which would cause the named fiduciary to question the written explanation.</w:t>
      </w:r>
    </w:p>
    <w:p>
      <w:r>
        <w:t>(ii) Analysis. The named fiduciary must ensure that its decision is based on a meaningful benchmark. In determining whether a particular benchmark is a meaningful benchmark, a named fiduciary may rely on a benchmark created by a prudently selected investment advice fiduciary that is independent of the manager of the designated investment alternative. A named fiduciary need not be more expert in benchmark construction and analytics than the investment advice expert hired by the named fiduciary to assist in the selection process.</w:t>
      </w:r>
    </w:p>
    <w:p>
      <w:r>
        <w:t>(iii) Conclusion. The named fiduciary in this example satisfies this paragraph (k) and ERISA section 404(a)(1)(B) by considering and determining that the designated investment alternative has a meaningful benchmark and comparing the risk-adjusted expected returns of the designated investment alternative to the meaningful benchmark. The composite benchmark reflects the strategies and proportions of the underlying assets of the designated investment alternative. The named fiduciary read, critically reviewed, and understood the investment advice fiduciary's explanation of the composite benchmark.</w:t>
      </w:r>
    </w:p>
    <w:p>
      <w:r>
        <w:t>(3) Example. Custom composite benchmark; Public securities —(i) Facts. The named fiduciary for a participant-directed individual account plan selects a target date fund as a designated investment alternative. The target date fund holds only publicly traded stocks and bonds. As part of the selection process, the fiduciary appropriately considers whether a particular custom composite benchmark is a meaningful benchmark. The custom composite benchmark is a blend of broad-based securities market indices. The blend represents the asset allocation used to implement the target date fund's strategy. The named fiduciary reads, critically reviews and understands the benchmark description and determines that the custom composite benchmark is a meaningful benchmark. The named fiduciary compares the historical performance of the target date fund to the historical returns of the custom composite benchmark as a means of evaluating the risk-adjusted expected returns of the target date fund.</w:t>
      </w:r>
    </w:p>
    <w:p>
      <w:r>
        <w:t>(ii) Analysis. In determining whether a particular benchmark is a meaningful benchmark with respect to a designated investment alternative, plan fiduciaries may rely on benchmarks that blend multiple broad-based securities market indices to represent the asset allocation used to implement the target date fund's strategy. Plan fiduciaries should review and understand the benchmark description or consult with an investment professional, as appropriate. The custom composite benchmark described in this example is meaningful because it reflects a similar strategy as the designated investment alternative. The custom composite benchmark can reveal whether the fund has outperformed or underperformed the benchmark in each asset class, providing valuable information to the plan fiduciary about the fund's investment selection decisions.</w:t>
      </w:r>
    </w:p>
    <w:p>
      <w:r>
        <w:t>(iii) Conclusion. The plan fiduciary in this example satisfies this paragraph (k) and ERISA section 404(a)(1)(B) by considering and determining within its discretion that the designated investment alternative has a meaningful benchmark and comparing the risk-adjusted expected returns of the designated investment alternative to the meaningful benchmark.</w:t>
      </w:r>
    </w:p>
    <w:p>
      <w:pPr>
        <w:pStyle w:val="Heading2"/>
      </w:pPr>
      <w:r>
        <w:t>Paragraph (l)</w:t>
      </w:r>
    </w:p>
    <w:p>
      <w:r>
        <w:t>(l) Complexity. The plan fiduciary must appropriately consider the complexity of the designated investment alternative and determine that it has the skills, knowledge, experience, and capacity to comprehend it sufficiently to discharge its obligations under ERISA and the governing plan documents or whether it must seek assistance from a qualified investment advice fiduciary, investment manager, or other individual.</w:t>
      </w:r>
    </w:p>
    <w:p>
      <w:r>
        <w:t>(1) Example. Complexity; Fees —(i) Facts. A participant-directed individual account plan offers a designated investment alternative that is a pooled investment vehicle with an investment strategy involving target positions in particular types of assets, which includes holdings of private assets. The private assets in the designated investment alternative are varied and use sophisticated and variable fee-based incentive structures to drive performance, including management fees and performance fees which include carried interest rights.</w:t>
      </w:r>
    </w:p>
    <w:p>
      <w:r>
        <w:t>(ii) Analysis. As described in more detail in paragraph (h), the fiduciary must determine that the fees and expenses of the designated investment alternative are appropriate, taking into account the designated investment alternative's risk-adjusted expected returns and any other value the designated investment alternative brings to furthering the purposes of the plan. In order to make this determination, the plan fiduciary must comprehend the fees that will be charged to the plan and determine, within its discretion, that such fees are appropriate given the value proposition offered by the designated investment alternative.</w:t>
      </w:r>
    </w:p>
    <w:p>
      <w:r>
        <w:t>(iii) Conclusion. A plan fiduciary is deemed to have met the comprehension requirements of paragraph (l) of this section, and section 404(a)(1)(B) of ERISA, with respect to the complexity of a designated investment alternative's fee structure in either of the two following scenarios.</w:t>
      </w:r>
    </w:p>
    <w:p>
      <w:r>
        <w:t>(A) In the first scenario, the plan fiduciary conducts relevant due diligence to understand each fee that the plan may pay, and, in so doing, critically evaluates and determines, including, if appropriate, with the advice of a third-party investment advice fiduciary within the meaning of section 3(21)(A)(ii) of ERISA, the average total expected rate of the designated investment alternative's fees, when fees will be paid, and how they will be determined. After this evaluation, the plan fiduciary determines (1) that the fee structure will deliver increased value by incentivizing performance which will, in turn, increase expected risk-adjusted return on investment and (2) that this increase outweighs the variability or potential unpredictability of the amount and timing of the fees.</w:t>
      </w:r>
    </w:p>
    <w:p>
      <w:r>
        <w:t>(B) In the second scenario, three conditions are met. First, the fiduciary obtains a written representation from the person responsible for managing the designated investment alternative, or otherwise performs adequate due diligence to confirm, that none of the underlying fees will be passed through to the plan, and that, instead, the plan will pay an appropriate, flat, AUM-based fee, to the person responsible for managing the designated investment alternative, who will then internalize the underlying fees. Second, the fiduciary reads, critically reviews, and understands any written representation and consults a qualified professional where appropriate. Third, the fiduciary does not know, or have reason to know, other information which would cause the fiduciary to question any written representation.</w:t>
      </w:r>
    </w:p>
    <w:p>
      <w:r>
        <w:t>(2) Example. Complexity; Participant needs —(i) Facts. The plan document for a participant-directed individual account plan specifies that the plan sponsor's chief financial officer is the named fiduciary of the plan and responsible for the establishment of the plan investment menu and selection and monitoring of designated investment alternatives. The named fiduciary does not enlist the services of an investment advice fiduciary within the meaning of section 3(21)(A)(ii) of ERISA, an investment manager within the meaning of section 3(38) of ERISA, or any other type of professional consultant. The named fiduciary adds a managed account service to create a customized portfolio tailored to each participant's unique financial circumstances as the plan's qualified default investment alternative. But, because the named fiduciary does not understand the design of the managed account service, the named fiduciary provides only the age of each participant to the managed account service, instead of providing, or allowing the participants to provide, information about the participants' unique financial circumstances. Based on each participant's age, the managed account service creates a portfolio for each participant that is materially similar in terms of strategies, historical performance, and liquidity to the portfolio that each participant would have been exposed to in the plan's target date fund—another designated investment alternative in the plan. The target date fund has substantially lower fees than the managed account service.</w:t>
      </w:r>
    </w:p>
    <w:p>
      <w:r>
        <w:t>(ii) Analysis. A plan fiduciary must, including with the help of professional investment advisers like third-party investment advice fiduciaries within the meaning of section 3(21)(A)(ii) of ERISA, when appropriate, determine that it has the skills, knowledge, experience, and capacity to understand each designated investment alternative sufficiently to discharge its obligations under ERISA and the governing plan documents.</w:t>
      </w:r>
    </w:p>
    <w:p>
      <w:r>
        <w:t>(iii) Conclusion. The facts in this example do not establish that the named fiduciary satisfied section 404(a)(1)(B) of ERISA and paragraph (l) of this section in selecting the management account service as a designated investment alternative. The selection and implementation process appears to be flawed because the named fiduciary failed to comprehend the features, values, and fees of the designated investment alternative. After an appropriate due diligence process, a plan fiduciary would ordinarily be expected to understand how a designated investment alternative functions and delivers value to plan participants and operationalize it accordingly.</w:t>
      </w:r>
    </w:p>
    <w:p>
      <w:pPr>
        <w:jc w:val="left"/>
      </w:pPr>
      <w:r>
        <w:br/>
        <w:t>Prepared by: ______________________    Reviewed by: ______________________    Date: ____________</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