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CION Ares Diversified Credit Fund (interval fund (Rule 23c-3, quarterly repurchases), CIK 1678124)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1.1374, Direct Alpha 1.62%/yr over 2018-07-18 to 2026-07-17.</w:t>
      </w:r>
    </w:p>
    <w:p>
      <w:r>
        <w:t>Peer comparison (paragraphs (g) and (h)): relative wealth ratio 0.9503, annualized excess return -1.01%/yr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1.1374, Direct Alpha 1.62%/yr, 2018-07-18 to 2026-07-17</w:t>
            </w:r>
          </w:p>
        </w:tc>
      </w:tr>
      <w:tr>
        <w:tc>
          <w:tcPr>
            <w:tcW w:type="dxa" w:w="1152"/>
          </w:tcPr>
          <w:p>
            <w:r>
              <w:t>SEC-required comparator</w:t>
            </w:r>
          </w:p>
        </w:tc>
        <w:tc>
          <w:tcPr>
            <w:tcW w:type="dxa" w:w="3456"/>
          </w:tcPr>
          <w:p>
            <w:r>
              <w:t>Credit Suisse Leveraged Loan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CION Ares Diversified Credit Fund</w:t>
            </w:r>
          </w:p>
        </w:tc>
        <w:tc>
          <w:tcPr>
            <w:tcW w:type="dxa" w:w="864"/>
          </w:tcPr>
          <w:p>
            <w:r>
              <w:t>not scored</w:t>
            </w:r>
          </w:p>
        </w:tc>
        <w:tc>
          <w:tcPr>
            <w:tcW w:type="dxa" w:w="3888"/>
          </w:tcPr>
          <w:p>
            <w:r>
              <w:t>relative wealth ratio 0.9503, annualized excess return -1.01%/yr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$5.2B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$1.0B per year (20% of approx. $5.2B net assets, cell 3.6). The plan's demand at the filed rate is $8.5M per year, 0.83%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$5.2B net assets (cell 3.6) is $1.0B per year. At a 5% allocation ($79.3M) the plan's demand at the filed rate is $8.5M per year, 0.83%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managed assets (leverage-inclusive)</w:t>
            </w:r>
          </w:p>
        </w:tc>
        <w:tc>
          <w:tcPr>
            <w:tcW w:type="dxa" w:w="2880"/>
          </w:tcPr>
          <w:p>
            <w:r>
              <w:t>extracted-unverified</w:t>
            </w:r>
          </w:p>
        </w:tc>
      </w:tr>
      <w:tr>
        <w:tc>
          <w:tcPr>
            <w:tcW w:type="dxa" w:w="2880"/>
          </w:tcPr>
          <w:p>
            <w:r>
              <w:t>2.2 Incentive fee terms</w:t>
            </w:r>
          </w:p>
        </w:tc>
        <w:tc>
          <w:tcPr>
            <w:tcW w:type="dxa" w:w="3600"/>
          </w:tcPr>
          <w:p>
            <w:r>
              <w:t>incentive fee: 15% / 6% hurdle</w:t>
            </w:r>
          </w:p>
        </w:tc>
        <w:tc>
          <w:tcPr>
            <w:tcW w:type="dxa" w:w="2880"/>
          </w:tcPr>
          <w:p>
            <w:r>
              <w:t>extracted-unverified</w:t>
            </w:r>
          </w:p>
        </w:tc>
      </w:tr>
      <w:t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c>
          <w:tcPr>
            <w:tcW w:type="dxa" w:w="2880"/>
          </w:tcPr>
          <w:p>
            <w:r>
              <w:t>2.4 AFFE</w:t>
            </w:r>
          </w:p>
        </w:tc>
        <w:tc>
          <w:tcPr>
            <w:tcW w:type="dxa" w:w="3600"/>
          </w:tcPr>
          <w:p>
            <w:r>
              <w:t>not applicable, the record states why</w:t>
            </w:r>
          </w:p>
        </w:tc>
        <w:tc>
          <w:tcPr>
            <w:tcW w:type="dxa" w:w="2880"/>
          </w:tcPr>
          <w:p>
            <w:r>
              <w:t>n/a - documented-unavailable</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1, extracted-unverified 22, verified 0, computed 12, partial 11, fetched 0,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