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Destiny Tech100 Inc (listed closed-end fund (NYSE: DXYZ), CIK 1843974)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2022-05-12, 3.6 years.</w:t>
            </w:r>
          </w:p>
          <w:p>
            <w:r>
              <w:t>1.1 Net total return series (extracted-unverified): NAV per share, FY-end (common stock, sole class): FY2022 $5.22, FY2023 $4.84, FY2024 $6.44, FY2025 $19.93; beginning NAV 1/1/2022 was NEGATIVE $(1.60).</w:t>
            </w:r>
          </w:p>
          <w:p>
            <w:r>
              <w:t>1.2 Trailing &amp; calendar-year returns (extracted-unverified): Total Return on MARKET VALUE: +613.45% (2024, listing year) then (47.96)% (2025) - the premium/discount pathology quantified in the fund's own highlights.</w:t>
            </w:r>
          </w:p>
          <w:p>
            <w:r>
              <w:t>1.3 Gross vs net spread (extracted-unverified): No gross-vs-net spread exists: the Financial Highlights print a SINGLE expense line, 'Ratio of expenses to average net assets' — 4.53% (FY2025), 6.28% (FY2024), 5.92% (FY2023), 5.13% (FY2022) — with no before/after-waiver companion line.</w:t>
            </w:r>
          </w:p>
          <w:p>
            <w:r>
              <w:t>1.4 Distribution history &amp; composition (extracted-unverified): No distributions ever paid through FY2025.</w:t>
            </w:r>
          </w:p>
          <w:p>
            <w:r>
              <w:t>1.6 Volatility &amp; max drawdown (computed): Computed from the held daily series DXYZ (Yahoo daily close, a market price that includes premium and discount dynamics), 2024-03-26 to 2026-07-17: annualized volatility 204.62% on 28 monthly returns and 162.6% on daily returns, max drawdown -90.35% on the daily series (peak 2024-04-08 to trough 2024-08-07).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Stress observation from the printed fiscal-year returns on record.</w:t>
            </w:r>
          </w:p>
          <w:p>
            <w:r>
              <w:t>1.10 Market price &amp; premium/discount (computed): Full trading-life price series on record (579 sessions, 2024-03-26 to 2026-07-17, DXYZ daily close): first $9.00, peak $99.79 on 2024-04-08, last $25.97, cumulative +188.6%.</w:t>
            </w:r>
          </w:p>
          <w:p>
            <w:r>
              <w:t>1.11 Track record &amp; manager tenure (extracted-unverified): Portfolio managers = members of the Investment Committee, 'currently comprised of Sohail Prasad' (sole member).</w:t>
            </w:r>
          </w:p>
          <w:p>
            <w:r>
              <w:t>1.12 Peer comparison (paragraphs (g) and (h)) (computed): Peer comparison (paragraphs (g) and (h)): pre-IPO and venture cohort, peers Neostellar Capital Corp., ARK Venture Fund, fund return basis Yahoo adjusted close, approximates NAV total return (DXYZ).</w:t>
            </w:r>
          </w:p>
          <w:p>
            <w:r>
              <w:t>Not applicable: 1.5 underlying fund/GP-level returns are LP-only reporting; filings disclose holdings at fair value (see 3.4/SOI), not underlying fund IRRs. 1.7 appraisal-series diagnostic; product's public series is a market price, NAV filed quarterly.</w:t>
            </w:r>
          </w:p>
        </w:tc>
      </w:tr>
      <w:tr>
        <w:tc>
          <w:tcPr>
            <w:tcW w:type="dxa" w:w="1728"/>
          </w:tcPr>
          <w:p>
            <w:r>
              <w:t>2. Fees (h)</w:t>
            </w:r>
          </w:p>
        </w:tc>
        <w:tc>
          <w:tcPr>
            <w:tcW w:type="dxa" w:w="7632"/>
          </w:tcPr>
          <w:p>
            <w:r>
              <w:t>Typed facts: 2.1 2.50% on gross assets incl. borrowings. 2.2 incentive fee: none. 2.3 4.53% expense ratio, of average net assets (FY2025). 2.4 AFFE 0.03%.</w:t>
            </w:r>
          </w:p>
          <w:p>
            <w:r>
              <w:t>2.1 Management fee (rate AND base) (extracted-unverified): CORRECTED per crosscheck: Revised Base Management Fee IN FORCE since NYSE listing (3/26/2024): 0.625% per QUARTER = 2.50% annualized of average GROSS assets INCLUDING assets purchased with borrowings - the leverage-inclusive fee-base trap (cell 2.1) on the fail case itself.</w:t>
            </w:r>
          </w:p>
          <w:p>
            <w:r>
              <w:t>2.2 Incentive fee terms (extracted-unverified): NO incentive/performance fee at the fund level — absence documented three ways: (1) the advisory-agreement compensation statement prints ONLY the Management Fee (2.50% annualized of average gross assets, payable quarterly) with no incentive-fee sentence anywhere in the Management/Investment Advisory Agreement sections; (2) the 424B5 Form N-2 fee table rows are Management Fee 2.18% / Interest on borrowed funds 0.00% / AFFE 0.03% / Other Expenses 2.35% / Total annual expenses 4.56% — no incentive-fee line item (N-2 fee table would require one if charged); (3) N-CSR Note 5(a) describes only the Original (2.00% on invested capital) and Revised (0.625%/quarter of gross assets) base management fees, and FY2025 related-party fees list no incentive amount.</w:t>
            </w:r>
          </w:p>
          <w:p>
            <w:r>
              <w:t>2.3 Total expense ratio &amp; waivers (extracted-unverified): Expense ratio 4.53% of avg net assets (FY2025); prior years 6.28 / 5.92 / 5.13.</w:t>
            </w:r>
          </w:p>
          <w:p>
            <w:r>
              <w:t>2.4 AFFE (extracted-unverified): AFFE line present in the 424B5 fee table ('Annual expenses', estimates for current fiscal year, % of net assets attributable to common stock): Acquired Fund Fees and Expenses 0.03% (footnote 3: 'Acquired Fund Fees and Expenses are the indirect costs of investing in other investment companies').</w:t>
            </w:r>
          </w:p>
          <w:p>
            <w:r>
              <w:t>2.5 Underlying GP economics (extracted-unverified): N-CSR Note 5(b) prints a complete SPV economics table ('Management fees incurred by SPVs'): 16 SPVs listed; ongoing management fees 0% for ALL 16; carried interest/incentive fees 0% for 14 of 16, the two exceptions being Khosla Ventures IFSPV II, LLC (Impossible Foods Series H Preferred) at 20% and MWAM VC SpaceX-II, LLC (SpaceX Class A/C common exposure) at 10%.</w:t>
            </w:r>
          </w:p>
          <w:p>
            <w:r>
              <w:t>2.6 Loads &amp; servicing fees (extracted-unverified): Single class of listed common stock; no sales-load table, no 12b-1/distribution-and-servicing fee, and no dealer-manager fee rates printed in the 424B5 (searched 'sales load', 'servicing fee', '12b-1', 'dealer manager' - only a generic expense-list mention of underwriting/dealer manager/placement agent agreements 'if any').</w:t>
            </w:r>
          </w:p>
          <w:p>
            <w:r>
              <w:t>2.9 Fee peer percentile (computed): Cohort placement (pre-IPO and venture cohort): mgmt fee: at the cohort median of 2.5 (n=3, too small for percentile language) | expense ratio (bases differ, see notes): at the cohort median of 4.53 (n=3, too small for percentile language) | repurchase cap: fact unavailable for this member.</w:t>
            </w:r>
          </w:p>
          <w:p>
            <w:r>
              <w:t>Not applicable: 2.7 no early-repurchase fee (exchange-traded).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on-exchange dealing. 3.9 structural verdict aligned-mechanical, plan-independent.</w:t>
            </w:r>
          </w:p>
          <w:p>
            <w:r>
              <w:t>3.1 Wrapper liquidity terms (extracted-unverified): Listed CEF: NYSE since March 26, 2024, ticker DXYZ; daily on-exchange liquidity; no fund-level repurchase program.</w:t>
            </w:r>
          </w:p>
          <w:p>
            <w:r>
              <w:t>3.4 Portfolio liquidity profile (extracted-unverified): As of 12/31/2025 (N-CSR fair value hierarchy): total investments $428,897,451 = Level 1 $203,457,292 (incl. money market $200,873,326), Level 2 $0, Level 3 $224,274,823 (common stocks $23,999,768; preferred stocks $42,555,604; SPVs $157,719,451), practical expedient $1,165,336.</w:t>
            </w:r>
          </w:p>
          <w:p>
            <w:r>
              <w:t>3.6 Fund leverage &amp; facilities (extracted-unverified): No borrowings, no credit facility, no preferred: (1) N-CSR balance sheet (12/31/2025) Total Liabilities $3,323,215 consist entirely of operating payables (management fees $1,891,641; professional $687,752; investments purchased $487,822; valuation $153,000; fund admin $48,000; printing $42,573; transfer agent $7,496; custody $1,300; other $3,631) — no debt line; zero N-CSR hits for credit facility / line of credit / borrowings outstanding.</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(typed facts, plan-independent). Scenario verdict under this plan (ILLUSTRATIVE): ALIGNED-MECHANICAL. Source: this plan's liquidity match.</w:t>
            </w:r>
          </w:p>
          <w:p>
            <w:r>
              <w:t>Not applicable: 3.2 exchange-traded. 3.3 exchange-traded. 3.5 CIT only.</w:t>
            </w:r>
          </w:p>
        </w:tc>
      </w:tr>
      <w:tr>
        <w:tc>
          <w:tcPr>
            <w:tcW w:type="dxa" w:w="1728"/>
          </w:tcPr>
          <w:p>
            <w:r>
              <w:t>4. Valuation (j)</w:t>
            </w:r>
          </w:p>
        </w:tc>
        <w:tc>
          <w:tcPr>
            <w:tcW w:type="dxa" w:w="7632"/>
          </w:tcPr>
          <w:p>
            <w:r>
              <w:t>Typed facts: 4.5 KPMG LLP (Big 4).</w:t>
            </w:r>
          </w:p>
          <w:p>
            <w:r>
              <w:t>4.1 Valuation policy &amp; NAV frequency (extracted-unverified): Valuation: Board has appointed the Adviser (Destiny Advisors LLC) as 'Valuation Designee' under Rule 2a-5 to perform fair value determinations, applying ASC 820 (Income and Market Approaches); the Adviser, with input from an independent third-party valuation agent, values each Level 3 investment quarterly; the Fund's fair valuation committee meets (N-CSR Note 3 - Fair Value Measurements).</w:t>
            </w:r>
          </w:p>
          <w:p>
            <w:r>
              <w:t>4.2 Fair-value hierarchy (L1/2/3) (partial): PARTIAL: portfolio predominantly Level 3 - 'Level 3 securities fair valued using significant unobservable inputs' (SOI footnote b); dollar hierarchy table pending read.</w:t>
            </w:r>
          </w:p>
          <w:p>
            <w:r>
              <w:t>4.3 Independent valuation agent (extracted-unverified): Independent valuation agent exists but is NOT NAMED in any on-disk dxyz filing.</w:t>
            </w:r>
          </w:p>
          <w:p>
            <w:r>
              <w:t>4.4 Methodology by asset type (extracted-unverified): Level 3 quantitative inputs table (N-CSR Note 3, as of 12/31/2025; fair value / technique / unobservable input / range(avg)): COMMON STOCKS $23,999,768 across 7 buckets — Market Approach: VWAP transaction prices $341,318 ($2.00-$4.25, avg $3.84); recent transaction price $1,968,480 ($6.57-$17.63, N/A); VWAP transaction+index prices $296,156 ($270.00-$286.00, avg $277.04); index price $1,416,993 ($17.13); average of broker quotes $2,522,487 ($3.00-$22.99, avg 13.08); recent transaction+index prices $12,438,334 ($1,442.37-$1,591.38, avg $1,516.87); plus Cost/investment cost $5,016,000.</w:t>
            </w:r>
          </w:p>
          <w:p>
            <w:r>
              <w:t>4.5 Auditor &amp; opinion (extracted-unverified): KPMG LLP, Philadelphia, PA - Fund's auditor since 2025; unqualified opinion on FY2025 financial statements, opinion dated March 5, 2026.</w:t>
            </w:r>
          </w:p>
          <w:p>
            <w:r>
              <w:t>4.6 NAV restatement history (extracted-unverified): No NAV restatement identified: searched N-CSR 2026-03-10, 424B5 2026-05-26, 424B3 2026-05-12 and N-2-A 2025-07-10 for 'restat'/'error correction'/'reprocess' - only hits are corporate 'Articles of Amendment and Restatement' / 'Amended and Restated Bylaws'.</w:t>
            </w:r>
          </w:p>
          <w:p>
            <w:r>
              <w:t>4.7 Premium/discount check (computed): Premium vs the latest FILED quarterly NAV ($24.56): +5.7% at the 2026-07-17 close ($25.97).</w:t>
            </w:r>
          </w:p>
          <w:p>
            <w:r>
              <w:t>Not applicable: 4.8 appraisal-series diagnostic; product's public series is a market price, NAV filed quarterly. 4.9 CIT only.</w:t>
            </w:r>
          </w:p>
        </w:tc>
      </w:tr>
      <w:tr>
        <w:tc>
          <w:tcPr>
            <w:tcW w:type="dxa" w:w="1728"/>
          </w:tcPr>
          <w:p>
            <w:r>
              <w:t>5. Performance Benchmarks (k)</w:t>
            </w:r>
          </w:p>
        </w:tc>
        <w:tc>
          <w:tcPr>
            <w:tcW w:type="dxa" w:w="7632"/>
          </w:tcPr>
          <w:p>
            <w:r>
              <w:t>5.1 Self-declared benchmark (extracted-unverified): YES — the Fund itself declares the NASDAQ Composite Index as its benchmark, in two places in the N-CSR: (1) Manager's Commentary: FY2025 NAV +209.59% 'compares to a 20.36% return for the Nasdaq Composite, a benchmark'; (2) 'Performance and Graphical Illustrations' prints a comparison table under the heading 'Fund Benchmark': NASDAQ Composite Index one-year 20.36%, annualized since inception 28.65% (inception basis 5/12/2022), against Fund NAV 209.59% / 42.62% and Fund market price (47.96)% / 153.27%; footnote (c) describes the index composition.</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listed closed-end fund.</w:t>
            </w:r>
          </w:p>
          <w:p>
            <w:r>
              <w:t>6.1 Structure map (extracted-unverified): Maryland corporation formed November 18, 2020; commenced operations January 25, 2021; registered with SEC as an investment company May 13, 2022; non-diversified closed-end management investment company under the 1940 Act; NYSE 'DXYZ' since March 26, 2024; RIC election beginning taxable year ended 12/31/2023; principal office Austin, TX.</w:t>
            </w:r>
          </w:p>
          <w:p>
            <w:r>
              <w:t>6.2 Strategy &amp; instrument complexity (extracted-unverified): Objective: maximize total return principally via capital gains on equity/equity-related investments in what it believes to be 100 of the top venture-backed private technology companies.</w:t>
            </w:r>
          </w:p>
          <w:p>
            <w:r>
              <w:t>6.3 Conflicts &amp; affiliated transactions (extracted-unverified): Conflicts (424B5 'Potential conflicts of interest'): Adviser's team manages/may manage other vehicles; Mr. Prasad co-founded S2 Capital, which invested in early-stage tech companies the Fund may also seek to invest in, subject to Adviser conflicts procedures; Prasad is a shareholder of Forge and SharesPost, private-securities marketplaces the Company may utilize, subject to best-execution policy.</w:t>
            </w:r>
          </w:p>
          <w:p>
            <w:r>
              <w:t>6.4 Tax reporting (1099 vs K-1) (partial): PARTIAL: tax form NOT explicitly named in on-disk filings - searched N-CSR 2026-03-10, 424B5 2026-05-26, 424B3 2026-05-12 and N-2-A 2025-07-10 for '1099' / 'K-1' / 'Schedule K': zero hits.</w:t>
            </w:r>
          </w:p>
          <w:p>
            <w:r>
              <w:t>6.5 Service-provider web (extracted-unverified): Administrator, Accounting Agent and Transfer Agent (also dividend paying agent and registrar): U.S. Bancorp Fund Services, LLC d/b/a US Bank Global Fund Services, Milwaukee, WI.</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Yahoo adjusted close, approximates NAV total return (DXYZ).</w:t>
      </w:r>
    </w:p>
    <w:p>
      <w:pPr>
        <w:pStyle w:val="Heading2"/>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memo does not decide.</w:t>
      </w:r>
    </w:p>
    <w:p>
      <w:pPr>
        <w:pStyle w:val="Heading2"/>
      </w:pPr>
      <w:r>
        <w:t>Declared benchmark and SEC-required comparators (cell 5.1)</w:t>
      </w:r>
    </w:p>
    <w:p>
      <w:r>
        <w:t>Declared benchmark: NASDAQ Composite Index, cited, not held, scored 5/12, fund price decoupled from NAV. The declaration itself earns no points.</w:t>
      </w:r>
    </w:p>
    <w:p>
      <w:r>
        <w:t>No comparison: cited, series not in the record: no comparison computed.</w:t>
      </w:r>
    </w:p>
    <w:p>
      <w:pPr>
        <w:pStyle w:val="Heading2"/>
      </w:pPr>
      <w:r>
        <w:t>Peer comparison (paragraphs (g) and (h)): pre-IPO and venture cohort</w:t>
      </w:r>
    </w:p>
    <w:p>
      <w:r>
        <w:t>Peers: Neostellar Capital Corp., ARK Venture Fund. This is the history of similar investments, not the benchmark, and it is never a public market equivalent.</w:t>
      </w:r>
    </w:p>
    <w:p>
      <w:r>
        <w:t>Composite refused: fewer than 3 peers remain after leaving Destiny Tech100 Inc out (2: Neostellar Capital Corp., ARK Venture Fund).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Destiny Tech100 Inc</w:t>
            </w:r>
          </w:p>
        </w:tc>
        <w:tc>
          <w:tcPr>
            <w:tcW w:type="dxa" w:w="1872"/>
          </w:tcPr>
          <w:p>
            <w:r>
              <w:t>Neostellar Capital Corp.</w:t>
            </w:r>
          </w:p>
        </w:tc>
        <w:tc>
          <w:tcPr>
            <w:tcW w:type="dxa" w:w="1872"/>
          </w:tcPr>
          <w:p>
            <w:r>
              <w:t>ARK Venture Fund</w:t>
            </w:r>
          </w:p>
        </w:tc>
      </w:tr>
      <w:tr>
        <w:tc>
          <w:tcPr>
            <w:tcW w:type="dxa" w:w="1872"/>
          </w:tcPr>
          <w:p>
            <w:r>
              <w:t>2017</w:t>
            </w:r>
          </w:p>
        </w:tc>
        <w:tc>
          <w:tcPr>
            <w:tcW w:type="dxa" w:w="1872"/>
          </w:tcPr>
          <w:p>
            <w:r>
              <w:t>1</w:t>
            </w:r>
          </w:p>
        </w:tc>
        <w:tc>
          <w:tcPr>
            <w:tcW w:type="dxa" w:w="1872"/>
          </w:tcPr>
          <w:p>
            <w:r>
              <w:t>n/a</w:t>
            </w:r>
          </w:p>
        </w:tc>
        <w:tc>
          <w:tcPr>
            <w:tcW w:type="dxa" w:w="1872"/>
          </w:tcPr>
          <w:p>
            <w:r>
              <w:t>8.35%</w:t>
            </w:r>
          </w:p>
        </w:tc>
        <w:tc>
          <w:tcPr>
            <w:tcW w:type="dxa" w:w="1872"/>
          </w:tcPr>
          <w:p>
            <w:r>
              <w:t>n/a</w:t>
            </w:r>
          </w:p>
        </w:tc>
      </w:tr>
      <w:tr>
        <w:tc>
          <w:tcPr>
            <w:tcW w:type="dxa" w:w="1872"/>
          </w:tcPr>
          <w:p>
            <w:r>
              <w:t>2018</w:t>
            </w:r>
          </w:p>
        </w:tc>
        <w:tc>
          <w:tcPr>
            <w:tcW w:type="dxa" w:w="1872"/>
          </w:tcPr>
          <w:p>
            <w:r>
              <w:t>1</w:t>
            </w:r>
          </w:p>
        </w:tc>
        <w:tc>
          <w:tcPr>
            <w:tcW w:type="dxa" w:w="1872"/>
          </w:tcPr>
          <w:p>
            <w:r>
              <w:t>n/a</w:t>
            </w:r>
          </w:p>
        </w:tc>
        <w:tc>
          <w:tcPr>
            <w:tcW w:type="dxa" w:w="1872"/>
          </w:tcPr>
          <w:p>
            <w:r>
              <w:t>-4.22%</w:t>
            </w:r>
          </w:p>
        </w:tc>
        <w:tc>
          <w:tcPr>
            <w:tcW w:type="dxa" w:w="1872"/>
          </w:tcPr>
          <w:p>
            <w:r>
              <w:t>n/a</w:t>
            </w:r>
          </w:p>
        </w:tc>
      </w:tr>
      <w:tr>
        <w:tc>
          <w:tcPr>
            <w:tcW w:type="dxa" w:w="1872"/>
          </w:tcPr>
          <w:p>
            <w:r>
              <w:t>2019</w:t>
            </w:r>
          </w:p>
        </w:tc>
        <w:tc>
          <w:tcPr>
            <w:tcW w:type="dxa" w:w="1872"/>
          </w:tcPr>
          <w:p>
            <w:r>
              <w:t>1</w:t>
            </w:r>
          </w:p>
        </w:tc>
        <w:tc>
          <w:tcPr>
            <w:tcW w:type="dxa" w:w="1872"/>
          </w:tcPr>
          <w:p>
            <w:r>
              <w:t>n/a</w:t>
            </w:r>
          </w:p>
        </w:tc>
        <w:tc>
          <w:tcPr>
            <w:tcW w:type="dxa" w:w="1872"/>
          </w:tcPr>
          <w:p>
            <w:r>
              <w:t>31.56%</w:t>
            </w:r>
          </w:p>
        </w:tc>
        <w:tc>
          <w:tcPr>
            <w:tcW w:type="dxa" w:w="1872"/>
          </w:tcPr>
          <w:p>
            <w:r>
              <w:t>n/a</w:t>
            </w:r>
          </w:p>
        </w:tc>
      </w:tr>
      <w:tr>
        <w:tc>
          <w:tcPr>
            <w:tcW w:type="dxa" w:w="1872"/>
          </w:tcPr>
          <w:p>
            <w:r>
              <w:t>2020</w:t>
            </w:r>
          </w:p>
        </w:tc>
        <w:tc>
          <w:tcPr>
            <w:tcW w:type="dxa" w:w="1872"/>
          </w:tcPr>
          <w:p>
            <w:r>
              <w:t>1</w:t>
            </w:r>
          </w:p>
        </w:tc>
        <w:tc>
          <w:tcPr>
            <w:tcW w:type="dxa" w:w="1872"/>
          </w:tcPr>
          <w:p>
            <w:r>
              <w:t>n/a</w:t>
            </w:r>
          </w:p>
        </w:tc>
        <w:tc>
          <w:tcPr>
            <w:tcW w:type="dxa" w:w="1872"/>
          </w:tcPr>
          <w:p>
            <w:r>
              <w:t>116.63%</w:t>
            </w:r>
          </w:p>
        </w:tc>
        <w:tc>
          <w:tcPr>
            <w:tcW w:type="dxa" w:w="1872"/>
          </w:tcPr>
          <w:p>
            <w:r>
              <w:t>n/a</w:t>
            </w:r>
          </w:p>
        </w:tc>
      </w:tr>
      <w:tr>
        <w:tc>
          <w:tcPr>
            <w:tcW w:type="dxa" w:w="1872"/>
          </w:tcPr>
          <w:p>
            <w:r>
              <w:t>2021</w:t>
            </w:r>
          </w:p>
        </w:tc>
        <w:tc>
          <w:tcPr>
            <w:tcW w:type="dxa" w:w="1872"/>
          </w:tcPr>
          <w:p>
            <w:r>
              <w:t>1</w:t>
            </w:r>
          </w:p>
        </w:tc>
        <w:tc>
          <w:tcPr>
            <w:tcW w:type="dxa" w:w="1872"/>
          </w:tcPr>
          <w:p>
            <w:r>
              <w:t>n/a</w:t>
            </w:r>
          </w:p>
        </w:tc>
        <w:tc>
          <w:tcPr>
            <w:tcW w:type="dxa" w:w="1872"/>
          </w:tcPr>
          <w:p>
            <w:r>
              <w:t>72.61%</w:t>
            </w:r>
          </w:p>
        </w:tc>
        <w:tc>
          <w:tcPr>
            <w:tcW w:type="dxa" w:w="1872"/>
          </w:tcPr>
          <w:p>
            <w:r>
              <w:t>n/a</w:t>
            </w:r>
          </w:p>
        </w:tc>
      </w:tr>
      <w:tr>
        <w:tc>
          <w:tcPr>
            <w:tcW w:type="dxa" w:w="1872"/>
          </w:tcPr>
          <w:p>
            <w:r>
              <w:t>2022</w:t>
            </w:r>
          </w:p>
        </w:tc>
        <w:tc>
          <w:tcPr>
            <w:tcW w:type="dxa" w:w="1872"/>
          </w:tcPr>
          <w:p>
            <w:r>
              <w:t>1</w:t>
            </w:r>
          </w:p>
        </w:tc>
        <w:tc>
          <w:tcPr>
            <w:tcW w:type="dxa" w:w="1872"/>
          </w:tcPr>
          <w:p>
            <w:r>
              <w:t>n/a</w:t>
            </w:r>
          </w:p>
        </w:tc>
        <w:tc>
          <w:tcPr>
            <w:tcW w:type="dxa" w:w="1872"/>
          </w:tcPr>
          <w:p>
            <w:r>
              <w:t>-70.31%</w:t>
            </w:r>
          </w:p>
        </w:tc>
        <w:tc>
          <w:tcPr>
            <w:tcW w:type="dxa" w:w="1872"/>
          </w:tcPr>
          <w:p>
            <w:r>
              <w:t>n/a</w:t>
            </w:r>
          </w:p>
        </w:tc>
      </w:tr>
      <w:tr>
        <w:tc>
          <w:tcPr>
            <w:tcW w:type="dxa" w:w="1872"/>
          </w:tcPr>
          <w:p>
            <w:r>
              <w:t>2023</w:t>
            </w:r>
          </w:p>
        </w:tc>
        <w:tc>
          <w:tcPr>
            <w:tcW w:type="dxa" w:w="1872"/>
          </w:tcPr>
          <w:p>
            <w:r>
              <w:t>2</w:t>
            </w:r>
          </w:p>
        </w:tc>
        <w:tc>
          <w:tcPr>
            <w:tcW w:type="dxa" w:w="1872"/>
          </w:tcPr>
          <w:p>
            <w:r>
              <w:t>n/a</w:t>
            </w:r>
          </w:p>
        </w:tc>
        <w:tc>
          <w:tcPr>
            <w:tcW w:type="dxa" w:w="1872"/>
          </w:tcPr>
          <w:p>
            <w:r>
              <w:t>3.68%</w:t>
            </w:r>
          </w:p>
        </w:tc>
        <w:tc>
          <w:tcPr>
            <w:tcW w:type="dxa" w:w="1872"/>
          </w:tcPr>
          <w:p>
            <w:r>
              <w:t>61.25%</w:t>
            </w:r>
          </w:p>
        </w:tc>
      </w:tr>
      <w:tr>
        <w:tc>
          <w:tcPr>
            <w:tcW w:type="dxa" w:w="1872"/>
          </w:tcPr>
          <w:p>
            <w:r>
              <w:t>2024</w:t>
            </w:r>
          </w:p>
        </w:tc>
        <w:tc>
          <w:tcPr>
            <w:tcW w:type="dxa" w:w="1872"/>
          </w:tcPr>
          <w:p>
            <w:r>
              <w:t>2</w:t>
            </w:r>
          </w:p>
        </w:tc>
        <w:tc>
          <w:tcPr>
            <w:tcW w:type="dxa" w:w="1872"/>
          </w:tcPr>
          <w:p>
            <w:r>
              <w:t>n/a</w:t>
            </w:r>
          </w:p>
        </w:tc>
        <w:tc>
          <w:tcPr>
            <w:tcW w:type="dxa" w:w="1872"/>
          </w:tcPr>
          <w:p>
            <w:r>
              <w:t>49.24%</w:t>
            </w:r>
          </w:p>
        </w:tc>
        <w:tc>
          <w:tcPr>
            <w:tcW w:type="dxa" w:w="1872"/>
          </w:tcPr>
          <w:p>
            <w:r>
              <w:t>6.69%</w:t>
            </w:r>
          </w:p>
        </w:tc>
      </w:tr>
      <w:tr>
        <w:tc>
          <w:tcPr>
            <w:tcW w:type="dxa" w:w="1872"/>
          </w:tcPr>
          <w:p>
            <w:r>
              <w:t>2025</w:t>
            </w:r>
          </w:p>
        </w:tc>
        <w:tc>
          <w:tcPr>
            <w:tcW w:type="dxa" w:w="1872"/>
          </w:tcPr>
          <w:p>
            <w:r>
              <w:t>3</w:t>
            </w:r>
          </w:p>
        </w:tc>
        <w:tc>
          <w:tcPr>
            <w:tcW w:type="dxa" w:w="1872"/>
          </w:tcPr>
          <w:p>
            <w:r>
              <w:t>-47.96%</w:t>
            </w:r>
          </w:p>
        </w:tc>
        <w:tc>
          <w:tcPr>
            <w:tcW w:type="dxa" w:w="1872"/>
          </w:tcPr>
          <w:p>
            <w:r>
              <w:t>69.91%</w:t>
            </w:r>
          </w:p>
        </w:tc>
        <w:tc>
          <w:tcPr>
            <w:tcW w:type="dxa" w:w="1872"/>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7/12</w:t>
            </w:r>
          </w:p>
        </w:tc>
        <w:tc>
          <w:tcPr>
            <w:tcW w:type="dxa" w:w="5472"/>
          </w:tcPr>
          <w:p>
            <w:r>
              <w:t>fund price is premium/discount-driven and decoupled from NAV. Benchmarking the price benchmarks the premium, not the portfolio Criteria: strategy_match 1/3: adjacent asset class sharing the dominant risk (listed private equity for pre-IPO holdings in a listed closed-end fund), risk_liquidity_match 0/3: fund price is premium-driven and decoupled from NAV, no candidate matches that risk process (fund terms: exchange-traded, continuous dealing at the market price), provider_independence 2/2: provider unaffiliated with the fund (Invesco / Red Rocks): the registry affiliation map ties it to none of the fund's advisers, data_held 2/2: daily public market series held (exchange-traded proxy, Yahoo adjusted close), pricing_basis_match 2/2: both market-priced series.</w:t>
            </w:r>
          </w:p>
        </w:tc>
      </w:tr>
      <w:tr>
        <w:tc>
          <w:tcPr>
            <w:tcW w:type="dxa" w:w="2880"/>
          </w:tcPr>
          <w:p>
            <w:r>
              <w:t>S&amp;P 500 investable proxy (SPY)</w:t>
            </w:r>
          </w:p>
        </w:tc>
        <w:tc>
          <w:tcPr>
            <w:tcW w:type="dxa" w:w="1008"/>
          </w:tcPr>
          <w:p>
            <w:r>
              <w:t>7/12</w:t>
            </w:r>
          </w:p>
        </w:tc>
        <w:tc>
          <w:tcPr>
            <w:tcW w:type="dxa" w:w="5472"/>
          </w:tcPr>
          <w:p>
            <w:r>
              <w:t>fund price is premium/discount-driven and decoupled from NAV. Benchmarking the price benchmarks the premium, not the portfolio Criteria: strategy_match 1/3: adjacent asset class sharing the dominant risk (US large cap for pre-IPO holdings in a listed closed-end fund), risk_liquidity_match 0/3: fund price is premium-driven and decoupled from NAV, no candidate matches that risk process (fund terms: exchange-traded, continuous dealing at the market price), provider_independence 2/2: provider unaffiliated with the fund (SPDR / S&amp;P DJI): the registry affiliation map ties it to none of the fund's advisers, data_held 2/2: daily public market series held (exchange-traded proxy, Yahoo adjusted close), pricing_basis_match 2/2: both market-priced series.</w:t>
            </w:r>
          </w:p>
        </w:tc>
      </w:tr>
      <w:tr>
        <w:tc>
          <w:tcPr>
            <w:tcW w:type="dxa" w:w="2880"/>
          </w:tcPr>
          <w:p>
            <w:r>
              <w:t>NASDAQ Composite Index</w:t>
            </w:r>
          </w:p>
        </w:tc>
        <w:tc>
          <w:tcPr>
            <w:tcW w:type="dxa" w:w="1008"/>
          </w:tcPr>
          <w:p>
            <w:r>
              <w:t>5/12</w:t>
            </w:r>
          </w:p>
        </w:tc>
        <w:tc>
          <w:tcPr>
            <w:tcW w:type="dxa" w:w="5472"/>
          </w:tcPr>
          <w:p>
            <w:r>
              <w:t>fund price is premium/discount-driven and decoupled from NAV. Benchmarking the price benchmarks the premium, not the portfolio Criteria: strategy_match 1/3: adjacent asset class sharing the dominant risk (NASDAQ Composite for pre-IPO holdings in a listed closed-end fund), risk_liquidity_match 0/3: fund price is premium-driven and decoupled from NAV, no candidate matches that risk process (fund terms: exchange-traded, continuous dealing at the market price), provider_independence 2/2: provider unaffiliated with the fund (Nasdaq): the registry affiliation map ties it to none of the fund's advisers, data_held 0/2: cited, series not in the record: no comparison can be computed yet, pricing_basis_match 2/2: both market-priced series.</w:t>
            </w:r>
          </w:p>
        </w:tc>
      </w:tr>
    </w:tbl>
    <w:p>
      <w:pPr>
        <w:pStyle w:val="Heading1"/>
      </w:pPr>
      <w:r>
        <w:t>Product-to-plan liquidity match</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closed-end fund</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3.1</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approx. $438.0M</w:t>
            </w:r>
          </w:p>
        </w:tc>
        <w:tc>
          <w:tcPr>
            <w:tcW w:type="dxa" w:w="1152"/>
          </w:tcPr>
          <w:p>
            <w:r>
              <w:t>2.3</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not applicable (exchange-traded).</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2024-05-01 to 2025-04-30): 10.8%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9.2% of the position per year, from tail turnover 20%/yr on the 28.2% of accounts that are separated and active turnover 5%/yr on the rest. Shown beside the filed rate, not blended with it, and likewise a selling rate against market depth.</w:t>
      </w:r>
    </w:p>
    <w:p>
      <w:r>
        <w:t>Cited: cell 3.1, cell 3.7, plan: plan_restaurant_hourly.json (Form 5500, plan year 2024-05-01 to 2025-04-30).</w:t>
      </w:r>
    </w:p>
    <w:p>
      <w:pPr>
        <w:pStyle w:val="Heading1"/>
      </w:pPr>
      <w:r>
        <w:t>Peer cohort placement</w:t>
      </w:r>
    </w:p>
    <w:p>
      <w:r>
        <w:t>Evidence depth tier: FULL. Cohort: Pre-IPO / venture growth (listed CEF + listed BDC + interval fund) (n=3). Membership rationale: Listed CEF holding pre-IPO tech, the premium-pricing fail case. The cohort exists to show premium vs NAV pricing as a PATTERN.</w:t>
      </w:r>
    </w:p>
    <w:p>
      <w:r>
        <w:t>Cohort placement (pre-IPO and venture cohort): mgmt fee: at the cohort median of 2.5 (n=3, too small for percentile language) | expense ratio (bases differ, see notes): at the cohort median of 4.53 (n=3, too small for percentile language) | repurchase cap: fact unavailable for this member. Statistics and per-member values are in the cohort artifact, membership rationales in the typed 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ALIGNED-MECHANICAL (typed facts, plan-independent). Scenario verdict under US casual-dining restaurant group 401(k) plan (~$1.6B, FL)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Flags raised by the record (each restates a typed value or verdict already in the artifacts,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Destiny Tech100 Inc out (2: Neostellar Capital Corp., ARK Venture Fund) (cell 1.12)</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14, partial 3, fetched 1, n/a 13, pending 0. 42 of 42 resolvable, 0 verified, 13 n/a by wrapper.</w:t>
      </w:r>
    </w:p>
    <w:p>
      <w:r>
        <w:t>Of the 41 evidenced cells, 41 carry a source document, 41 a section, 27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1.2</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1.3</w:t>
            </w:r>
          </w:p>
        </w:tc>
        <w:tc>
          <w:tcPr>
            <w:tcW w:type="dxa" w:w="3456"/>
          </w:tcPr>
          <w:p>
            <w:r>
              <w:t>N-CSR 2026-03-10 (FY ended 12/31/2025); absence of waiver corroborated in 424B5 2026-05-26 'Fees and Expenses'</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1.4</w:t>
            </w:r>
          </w:p>
        </w:tc>
        <w:tc>
          <w:tcPr>
            <w:tcW w:type="dxa" w:w="3456"/>
          </w:tcPr>
          <w:p>
            <w:r>
              <w:t>N-CSR 2026-03-10 (FY2025 annual report); policy corroborated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1.10</w:t>
            </w:r>
          </w:p>
        </w:tc>
        <w:tc>
          <w:tcPr>
            <w:tcW w:type="dxa" w:w="3456"/>
          </w:tcPr>
          <w:p>
            <w:r>
              <w:t>held daily series and analytics supplement artifact (premium block)</w:t>
            </w:r>
          </w:p>
        </w:tc>
        <w:tc>
          <w:tcPr>
            <w:tcW w:type="dxa" w:w="5184"/>
          </w:tcPr>
          <w:p>
            <w:r>
              <w:t>accession not on record: no filing reference in the source field</w:t>
            </w:r>
          </w:p>
        </w:tc>
      </w:tr>
      <w:tr>
        <w:tc>
          <w:tcPr>
            <w:tcW w:type="dxa" w:w="720"/>
          </w:tcPr>
          <w:p>
            <w:r>
              <w:t>1.11</w:t>
            </w:r>
          </w:p>
        </w:tc>
        <w:tc>
          <w:tcPr>
            <w:tcW w:type="dxa" w:w="3456"/>
          </w:tcPr>
          <w:p>
            <w:r>
              <w:t>424B5 2026-05-26 (manager identity); N-CSR 2026-03-10 (dates, tenure, returns)</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tc>
      </w:tr>
      <w:tr>
        <w:tc>
          <w:tcPr>
            <w:tcW w:type="dxa" w:w="720"/>
          </w:tcPr>
          <w:p>
            <w:r>
              <w:t>1.12</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2.1</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2.2</w:t>
            </w:r>
          </w:p>
        </w:tc>
        <w:tc>
          <w:tcPr>
            <w:tcW w:type="dxa" w:w="3456"/>
          </w:tcPr>
          <w:p>
            <w:r>
              <w:t>424B5 2026-05-26 (prospectus summary + 'Management — Investment Advisory Agreement' + 'Fees and Expenses' table); corroborated by N-CSR 2026-03-10 Note 5(a)</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tc>
      </w:tr>
      <w:tr>
        <w:tc>
          <w:tcPr>
            <w:tcW w:type="dxa" w:w="720"/>
          </w:tcPr>
          <w:p>
            <w:r>
              <w:t>2.3</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2.4</w:t>
            </w:r>
          </w:p>
        </w:tc>
        <w:tc>
          <w:tcPr>
            <w:tcW w:type="dxa" w:w="3456"/>
          </w:tcPr>
          <w:p>
            <w:r>
              <w:t>424B5 2026-05-26 (prospectus supplement + base prospectus)</w:t>
            </w:r>
          </w:p>
        </w:tc>
        <w:tc>
          <w:tcPr>
            <w:tcW w:type="dxa" w:w="5184"/>
          </w:tcPr>
          <w:p>
            <w:r>
              <w:t>424B5 2026-05-26 accession 0001575872-26-000359 https://www.sec.gov/Archives/edgar/data/1843974/000157587226000359/dxyz102_424b5.htm</w:t>
            </w:r>
          </w:p>
        </w:tc>
      </w:tr>
      <w:tr>
        <w:tc>
          <w:tcPr>
            <w:tcW w:type="dxa" w:w="720"/>
          </w:tcPr>
          <w:p>
            <w:r>
              <w:t>2.5</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2.6</w:t>
            </w:r>
          </w:p>
        </w:tc>
        <w:tc>
          <w:tcPr>
            <w:tcW w:type="dxa" w:w="3456"/>
          </w:tcPr>
          <w:p>
            <w:r>
              <w:t>424B5 2026-05-26</w:t>
            </w:r>
          </w:p>
        </w:tc>
        <w:tc>
          <w:tcPr>
            <w:tcW w:type="dxa" w:w="5184"/>
          </w:tcPr>
          <w:p>
            <w:r>
              <w:t>424B5 2026-05-26 accession 0001575872-26-000359 https://www.sec.gov/Archives/edgar/data/1843974/000157587226000359/dxyz102_424b5.htm</w:t>
            </w:r>
          </w:p>
        </w:tc>
      </w:tr>
      <w:tr>
        <w:tc>
          <w:tcPr>
            <w:tcW w:type="dxa" w:w="720"/>
          </w:tcPr>
          <w:p>
            <w:r>
              <w:t>2.9</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3.1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3.4</w:t>
            </w:r>
          </w:p>
        </w:tc>
        <w:tc>
          <w:tcPr>
            <w:tcW w:type="dxa" w:w="3456"/>
          </w:tcPr>
          <w:p>
            <w:r>
              <w:t>N-CSR 2026-03-10 (FY2025); 3/31/2026 update from 424B3 2026-05-12</w:t>
            </w:r>
          </w:p>
        </w:tc>
        <w:tc>
          <w:tcPr>
            <w:tcW w:type="dxa" w:w="5184"/>
          </w:tcPr>
          <w:p>
            <w:r>
              <w:t>N-CSR 2026-03-10 accession 0001213900-26-025304 https://www.sec.gov/Archives/edgar/data/1843974/000121390026025304/ea0276106-01_ncsr.htm</w:t>
            </w:r>
          </w:p>
          <w:p>
            <w:r>
              <w:t>424B3 2026-05-12 accession 0001575872-26-000288 https://www.sec.gov/Archives/edgar/data/1843974/000157587226000288/dxyz100_424b3.htm</w:t>
            </w:r>
          </w:p>
        </w:tc>
      </w:tr>
      <w:tr>
        <w:tc>
          <w:tcPr>
            <w:tcW w:type="dxa" w:w="720"/>
          </w:tcPr>
          <w:p>
            <w:r>
              <w:t>3.6</w:t>
            </w:r>
          </w:p>
        </w:tc>
        <w:tc>
          <w:tcPr>
            <w:tcW w:type="dxa" w:w="3456"/>
          </w:tcPr>
          <w:p>
            <w:r>
              <w:t>424B5 2026-05-26 (Fees and Expenses footnote 2; leverage risk sections); N-CSR 2026-03-10 Statement of Assets and Liabilities; NPORT-P filed 2026-05-29 Item B.2.c</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p>
            <w:r>
              <w:t>NPORT-P 2026-05-29 accession 0000894189-26-016628 https://www.sec.gov/Archives/edgar/data/1843974/000089418926016628/xslFormNPORT-P_X01/primary_doc.xml</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(Destiny Tech100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(Destiny Tech100 Inc, four reference plans)</w:t>
            </w:r>
          </w:p>
        </w:tc>
        <w:tc>
          <w:tcPr>
            <w:tcW w:type="dxa" w:w="5184"/>
          </w:tcPr>
          <w:p>
            <w:r>
              <w:t>accession not on record: no filing reference in the source field</w:t>
            </w:r>
          </w:p>
        </w:tc>
      </w:tr>
      <w:tr>
        <w:tc>
          <w:tcPr>
            <w:tcW w:type="dxa" w:w="720"/>
          </w:tcPr>
          <w:p>
            <w:r>
              <w:t>4.1</w:t>
            </w:r>
          </w:p>
        </w:tc>
        <w:tc>
          <w:tcPr>
            <w:tcW w:type="dxa" w:w="3456"/>
          </w:tcPr>
          <w:p>
            <w:r>
              <w:t>N-CSR 2026-03-10 (FY2025); frequency also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4.2</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4.3</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4.4</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4.5</w:t>
            </w:r>
          </w:p>
        </w:tc>
        <w:tc>
          <w:tcPr>
            <w:tcW w:type="dxa" w:w="3456"/>
          </w:tcPr>
          <w:p>
            <w:r>
              <w:t>N-CSR 2026-03-10 (FY2025 annual report)</w:t>
            </w:r>
          </w:p>
        </w:tc>
        <w:tc>
          <w:tcPr>
            <w:tcW w:type="dxa" w:w="5184"/>
          </w:tcPr>
          <w:p>
            <w:r>
              <w:t>N-CSR 2026-03-10 accession 0001213900-26-025304 https://www.sec.gov/Archives/edgar/data/1843974/000121390026025304/ea0276106-01_ncsr.htm</w:t>
            </w:r>
          </w:p>
        </w:tc>
      </w:tr>
      <w:tr>
        <w:tc>
          <w:tcPr>
            <w:tcW w:type="dxa" w:w="720"/>
          </w:tcPr>
          <w:p>
            <w:r>
              <w:t>4.6</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4.7</w:t>
            </w:r>
          </w:p>
        </w:tc>
        <w:tc>
          <w:tcPr>
            <w:tcW w:type="dxa" w:w="3456"/>
          </w:tcPr>
          <w:p>
            <w:r>
              <w:t>analytics supplement artifact (premium block)</w:t>
            </w:r>
          </w:p>
        </w:tc>
        <w:tc>
          <w:tcPr>
            <w:tcW w:type="dxa" w:w="5184"/>
          </w:tcPr>
          <w:p>
            <w:r>
              <w:t>accession not on record: no filing reference in the source field</w:t>
            </w:r>
          </w:p>
        </w:tc>
      </w:tr>
      <w:tr>
        <w:tc>
          <w:tcPr>
            <w:tcW w:type="dxa" w:w="720"/>
          </w:tcPr>
          <w:p>
            <w:r>
              <w:t>5.1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5.3</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5.4</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5.6</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2026-03-10 (FY2025); structure detail from 424B5 2026-05-26 and 424B3 2026-05-12</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p>
            <w:r>
              <w:t>424B3 2026-05-12 accession 0001575872-26-000288 https://www.sec.gov/Archives/edgar/data/1843974/000157587226000288/dxyz100_424b3.htm</w:t>
            </w:r>
          </w:p>
        </w:tc>
      </w:tr>
      <w:tr>
        <w:tc>
          <w:tcPr>
            <w:tcW w:type="dxa" w:w="720"/>
          </w:tcPr>
          <w:p>
            <w:r>
              <w:t>6.2</w:t>
            </w:r>
          </w:p>
        </w:tc>
        <w:tc>
          <w:tcPr>
            <w:tcW w:type="dxa" w:w="3456"/>
          </w:tcPr>
          <w:p>
            <w:r>
              <w:t>424B5 2026-05-26; portfolio composition from N-CSR 2026-03-10 and 424B3 2026-05-12</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p>
            <w:r>
              <w:t>424B3 2026-05-12 accession 0001575872-26-000288 https://www.sec.gov/Archives/edgar/data/1843974/000157587226000288/dxyz100_424b3.htm</w:t>
            </w:r>
          </w:p>
        </w:tc>
      </w:tr>
      <w:tr>
        <w:tc>
          <w:tcPr>
            <w:tcW w:type="dxa" w:w="720"/>
          </w:tcPr>
          <w:p>
            <w:r>
              <w:t>6.3</w:t>
            </w:r>
          </w:p>
        </w:tc>
        <w:tc>
          <w:tcPr>
            <w:tcW w:type="dxa" w:w="3456"/>
          </w:tcPr>
          <w:p>
            <w:r>
              <w:t>N-CSR 2026-03-10 Note 5 - Agreements and Related Party Transactions; conflicts narrative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6.4</w:t>
            </w:r>
          </w:p>
        </w:tc>
        <w:tc>
          <w:tcPr>
            <w:tcW w:type="dxa" w:w="3456"/>
          </w:tcPr>
          <w:p>
            <w:r>
              <w:t>424B5 2026-05-26 (form not named in any on-disk dxyz filing)</w:t>
            </w:r>
          </w:p>
        </w:tc>
        <w:tc>
          <w:tcPr>
            <w:tcW w:type="dxa" w:w="5184"/>
          </w:tcPr>
          <w:p>
            <w:r>
              <w:t>424B5 2026-05-26 accession 0001575872-26-000359 https://www.sec.gov/Archives/edgar/data/1843974/000157587226000359/dxyz102_424b5.htm</w:t>
            </w:r>
          </w:p>
        </w:tc>
      </w:tr>
      <w:tr>
        <w:tc>
          <w:tcPr>
            <w:tcW w:type="dxa" w:w="720"/>
          </w:tcPr>
          <w:p>
            <w:r>
              <w:t>6.5</w:t>
            </w:r>
          </w:p>
        </w:tc>
        <w:tc>
          <w:tcPr>
            <w:tcW w:type="dxa" w:w="3456"/>
          </w:tcPr>
          <w:p>
            <w:r>
              <w:t>N-CSR 2026-03-10 (FY2025)</w:t>
            </w:r>
          </w:p>
        </w:tc>
        <w:tc>
          <w:tcPr>
            <w:tcW w:type="dxa" w:w="5184"/>
          </w:tcPr>
          <w:p>
            <w:r>
              <w:t>N-CSR 2026-03-10 accession 0001213900-26-025304 https://www.sec.gov/Archives/edgar/data/1843974/000121390026025304/ea0276106-01_ncsr.htm</w:t>
            </w:r>
          </w:p>
        </w:tc>
      </w:tr>
    </w:tbl>
    <w:p>
      <w:r>
        <w:t>Data sources: SEC EDGAR filings (5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