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daily dealing, 5% cap per quarter on NAV. 3.3 no gating identified in the filings on record. 3.9 structural verdict conditional, plan-independent.</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12 points).</w:t>
            </w:r>
          </w:p>
          <w:p>
            <w:r>
              <w:t>5.7 Case-law tracker (partial): Anderson v. Intel Corp. Investment Policy Committee, No. 25-498 (U.S.).</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pPr>
      <w:r>
        <w:t>Meaningful benchmark (paragraph (k)): NCREIF Fund Index - ODCE (private core RE) (score 9/12)</w:t>
      </w:r>
    </w:p>
    <w:p>
      <w:r>
        <w:t>Comparison not computed: no computable fund return series on record: no multi-year per-class return series is printed: the FY2025 10-K gives net total return only as a 3.0% to 3.8% range across classes and an 8-quarter NAV path without distributions (cells 1.1 and 1.2). The candidate is selected on its own descriptors. No number is substituted.</w:t>
      </w:r>
    </w:p>
    <w:p>
      <w:pPr>
        <w:pStyle w:val="ListBullet"/>
      </w:pPr>
      <w:r>
        <w:t>strategy_match 3/3: a private-market index of real estate for a core non-traded real estate fund</w:t>
      </w:r>
    </w:p>
    <w:p>
      <w:pPr>
        <w:pStyle w:val="ListBullet"/>
      </w:pPr>
      <w:r>
        <w:t>risk_liquidity_match 2/3: appraisal-based index of periodically dealt funds (daily dealing at NAV under 5% cap per quarter).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Declared benchmark and SEC-required comparators (cell 5.1)</w:t>
      </w:r>
    </w:p>
    <w:p>
      <w:r>
        <w:t>Declared benchmark: NFI-ODCE, cited, not held, scored 9/12,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6/12, fails the strategy gate (strategy_match 0/3).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r>
        <w:t>Composite refused: fewer than 3 peers remain after leaving JLL Income Property Trust, Inc. out (2: Blackstone Real Estate Income Trust Inc, Starwood Real Estate Income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JLL Income Property Trust, Inc.</w:t>
            </w:r>
          </w:p>
        </w:tc>
        <w:tc>
          <w:tcPr>
            <w:tcW w:type="dxa" w:w="1872"/>
          </w:tcPr>
          <w:p>
            <w:r>
              <w:t>Blackstone Real Estate Income Trust Inc</w:t>
            </w:r>
          </w:p>
        </w:tc>
        <w:tc>
          <w:tcPr>
            <w:tcW w:type="dxa" w:w="1872"/>
          </w:tcPr>
          <w:p>
            <w:r>
              <w:t>Starwood Real Estate Income Trust, Inc.</w:t>
            </w:r>
          </w:p>
        </w:tc>
      </w:tr>
      <w:tr>
        <w:tc>
          <w:tcPr>
            <w:tcW w:type="dxa" w:w="1872"/>
          </w:tcPr>
          <w:p>
            <w:r>
              <w:t>2023</w:t>
            </w:r>
          </w:p>
        </w:tc>
        <w:tc>
          <w:tcPr>
            <w:tcW w:type="dxa" w:w="1872"/>
          </w:tcPr>
          <w:p>
            <w:r>
              <w:t>1</w:t>
            </w:r>
          </w:p>
        </w:tc>
        <w:tc>
          <w:tcPr>
            <w:tcW w:type="dxa" w:w="1872"/>
          </w:tcPr>
          <w:p>
            <w:r>
              <w:t>n/a</w:t>
            </w:r>
          </w:p>
        </w:tc>
        <w:tc>
          <w:tcPr>
            <w:tcW w:type="dxa" w:w="1872"/>
          </w:tcPr>
          <w:p>
            <w:r>
              <w:t>-0.5%</w:t>
            </w:r>
          </w:p>
        </w:tc>
        <w:tc>
          <w:tcPr>
            <w:tcW w:type="dxa" w:w="1872"/>
          </w:tcPr>
          <w:p>
            <w:r>
              <w:t>n/a</w:t>
            </w:r>
          </w:p>
        </w:tc>
      </w:tr>
      <w:tr>
        <w:tc>
          <w:tcPr>
            <w:tcW w:type="dxa" w:w="1872"/>
          </w:tcPr>
          <w:p>
            <w:r>
              <w:t>2024</w:t>
            </w:r>
          </w:p>
        </w:tc>
        <w:tc>
          <w:tcPr>
            <w:tcW w:type="dxa" w:w="1872"/>
          </w:tcPr>
          <w:p>
            <w:r>
              <w:t>1</w:t>
            </w:r>
          </w:p>
        </w:tc>
        <w:tc>
          <w:tcPr>
            <w:tcW w:type="dxa" w:w="1872"/>
          </w:tcPr>
          <w:p>
            <w:r>
              <w:t>n/a</w:t>
            </w:r>
          </w:p>
        </w:tc>
        <w:tc>
          <w:tcPr>
            <w:tcW w:type="dxa" w:w="1872"/>
          </w:tcPr>
          <w:p>
            <w:r>
              <w:t>2%</w:t>
            </w:r>
          </w:p>
        </w:tc>
        <w:tc>
          <w:tcPr>
            <w:tcW w:type="dxa" w:w="1872"/>
          </w:tcPr>
          <w:p>
            <w:r>
              <w:t>n/a</w:t>
            </w:r>
          </w:p>
        </w:tc>
      </w:tr>
      <w:tr>
        <w:tc>
          <w:tcPr>
            <w:tcW w:type="dxa" w:w="1872"/>
          </w:tcPr>
          <w:p>
            <w:r>
              <w:t>2025</w:t>
            </w:r>
          </w:p>
        </w:tc>
        <w:tc>
          <w:tcPr>
            <w:tcW w:type="dxa" w:w="1872"/>
          </w:tcPr>
          <w:p>
            <w:r>
              <w:t>2</w:t>
            </w:r>
          </w:p>
        </w:tc>
        <w:tc>
          <w:tcPr>
            <w:tcW w:type="dxa" w:w="1872"/>
          </w:tcPr>
          <w:p>
            <w:r>
              <w:t>n/a</w:t>
            </w:r>
          </w:p>
        </w:tc>
        <w:tc>
          <w:tcPr>
            <w:tcW w:type="dxa" w:w="1872"/>
          </w:tcPr>
          <w:p>
            <w:r>
              <w:t>8.1%</w:t>
            </w:r>
          </w:p>
        </w:tc>
        <w:tc>
          <w:tcPr>
            <w:tcW w:type="dxa" w:w="1872"/>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 non-traded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6/12</w:t>
            </w:r>
          </w:p>
        </w:tc>
        <w:tc>
          <w:tcPr>
            <w:tcW w:type="dxa" w:w="5472"/>
          </w:tcPr>
          <w:p>
            <w:r>
              <w:t>rejected: strategy gate (score 6/12 but strategy_match 0/3) Criteria: strategy_match 0/3: unrelated asset class (public equity for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Meaningful benchmark (paragraph (k)): NCREIF Fund Index - ODCE (private core RE) at 9/12, cited, series not in the record. 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already in the artifacts,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7, partial 5, fetched 1, n/a 18, pending 0. 37 of 37 resolvable, 0 verified, 18 n/a by wrapper.</w:t>
      </w:r>
    </w:p>
    <w:p>
      <w:r>
        <w:t>Of the 36 evidenced cells, 36 carry a source document, 36 a section, 29 a verbatim quote (computed cells carry their computation and inputs instead of a quote) and 36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1.12</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5.6</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