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0.9453, Direct Alpha -5.47%/yr over 2024-12-31 to 2025-12-31.</w:t>
      </w:r>
    </w:p>
    <w:p>
      <w:r>
        <w:t>Peer comparison (paragraphs (g) and (h)): composite refused, fewer than 3 peers remain after leaving Starwood Real Estate Income Trust, Inc. out (2: Blackstone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0.9453, Direct Alpha -5.47%/yr, 2024-12-31 to 2025-12-31</w:t>
            </w:r>
          </w:p>
        </w:tc>
      </w:tr>
      <w:tr>
        <w:tc>
          <w:tcPr>
            <w:tcW w:type="dxa" w:w="1152"/>
          </w:tcPr>
          <w:p>
            <w:r>
              <w:t>Peer comparison (paragraphs (g) and (h))</w:t>
            </w:r>
          </w:p>
        </w:tc>
        <w:tc>
          <w:tcPr>
            <w:tcW w:type="dxa" w:w="3456"/>
          </w:tcPr>
          <w:p>
            <w:r>
              <w:t>Peer composite, non-traded real estate cohort without Starwood Real Estate Income Trust, Inc.</w:t>
            </w:r>
          </w:p>
        </w:tc>
        <w:tc>
          <w:tcPr>
            <w:tcW w:type="dxa" w:w="864"/>
          </w:tcPr>
          <w:p>
            <w:r>
              <w:t>not scored</w:t>
            </w:r>
          </w:p>
        </w:tc>
        <w:tc>
          <w:tcPr>
            <w:tcW w:type="dxa" w:w="3888"/>
          </w:tcPr>
          <w:p>
            <w:r>
              <w:t>composite refused: fewer than 3 peers remain after leaving Starwood Real Estate Income Trust, Inc. out (2: Blackstone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repurchases suspended since the April 29, 2026 amendment (3.1)</w:t>
            </w:r>
          </w:p>
        </w:tc>
        <w:tc>
          <w:tcPr>
            <w:tcW w:type="dxa" w:w="1152"/>
          </w:tcPr>
          <w:p>
            <w:r>
              <w:t>3.1</w:t>
            </w:r>
          </w:p>
        </w:tc>
      </w:tr>
      <w:tr>
        <w:tc>
          <w:tcPr>
            <w:tcW w:type="dxa" w:w="2448"/>
          </w:tcPr>
          <w:p>
            <w:r>
              <w:t>Repurchase caps</w:t>
            </w:r>
          </w:p>
        </w:tc>
        <w:tc>
          <w:tcPr>
            <w:tcW w:type="dxa" w:w="5760"/>
          </w:tcPr>
          <w:p>
            <w:r>
              <w:t>0% per month for ordinary requests (suspended), 0% per year</w:t>
            </w:r>
          </w:p>
        </w:tc>
        <w:tc>
          <w:tcPr>
            <w:tcW w:type="dxa" w:w="1152"/>
          </w:tcPr>
          <w:p>
            <w:r>
              <w:t>3.1</w:t>
            </w:r>
          </w:p>
        </w:tc>
      </w:tr>
      <w:tr>
        <w:tc>
          <w:tcPr>
            <w:tcW w:type="dxa" w:w="2448"/>
          </w:tcPr>
          <w:p>
            <w:r>
              <w:t>Annual capacity (binding cap)</w:t>
            </w:r>
          </w:p>
        </w:tc>
        <w:tc>
          <w:tcPr>
            <w:tcW w:type="dxa" w:w="5760"/>
          </w:tcPr>
          <w:p>
            <w:r>
              <w:t>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1.1</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EXCEEDS annual wrapper capacity (18.2% vs 0%). Unmet demand rolls into later windows (gating-equivalent outcome).</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2024-05-01 to 2025-04-30): 10.8%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9.2% of the position per year vs 0% annual wrapper capacity, from tail turnover 20%/yr on the 28.2%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24, verified 0, computed 11, partial 6,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