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approximates NAV total return (NSLR).</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on-exchange dealing. 3.3 no gating identified in the filings on record. 3.9 structural verdict aligned-mechanical, plan-independent.</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(typed facts, plan-independent). Scenario verdict under this plan (ILLUSTRATIVE): ALIGNED-MECHANICAL. Source: this plan's liquidity match.</w:t>
            </w:r>
          </w:p>
          <w:p>
            <w:r>
              <w:t>Not applicable: 3.5 CIT only.</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r>
        <w:t>Return basis for every comparison in this section: Yahoo adjusted close, approximates NAV total return (NSLR).</w:t>
      </w:r>
    </w:p>
    <w:p>
      <w:pPr>
        <w:pStyle w:val="Heading2"/>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SEC-required comparator: S&amp;P 500, held, scored 7/12, fund price decoupled from NAV. The declaration itself earns no points.</w:t>
      </w:r>
    </w:p>
    <w:p>
      <w:r>
        <w:t>Window 2018-07-18 to 2026-07-17 (clipped: proxy series begins 2018-07-18, proxy series ends 2026-07-17): fund 15.09%/yr (Yahoo adjusted close, approximates NAV total return) vs S&amp;P 500 14.66%/yr, KS-PME 1.0302, Direct Alpha 0.37%/yr.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1.1346 (97 equal contributions at the window start and each month-end inside it, valued at the window end). The two-point figure is primary.</w:t>
      </w:r>
    </w:p>
    <w:p>
      <w:r>
        <w:t>Declared benchmark: none. cell 5.1: the 10-K performance graph compares against indices with a printed statement that no appropriate strategy-matched index exists.</w:t>
      </w:r>
    </w:p>
    <w:p>
      <w:pPr>
        <w:pStyle w:val="Heading2"/>
      </w:pPr>
      <w:r>
        <w:t>Peer comparison (paragraphs (g) and (h)): pre-IPO and venture cohort</w:t>
      </w:r>
    </w:p>
    <w:p>
      <w:r>
        <w:t>Peers: Destiny Tech100 Inc, ARK Venture Fund. This is the history of similar investments, not the benchmark, and it is never a public market equivalent.</w:t>
      </w:r>
    </w:p>
    <w:p>
      <w:r>
        <w:t>Composite refused: fewer than 3 peers remain after leaving Neostellar Capital Corp. out (2: Destiny Tech100 Inc, ARK Venture Fund).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Neostellar Capital Corp.</w:t>
            </w:r>
          </w:p>
        </w:tc>
        <w:tc>
          <w:tcPr>
            <w:tcW w:type="dxa" w:w="1872"/>
          </w:tcPr>
          <w:p>
            <w:r>
              <w:t>Destiny Tech100 Inc</w:t>
            </w:r>
          </w:p>
        </w:tc>
        <w:tc>
          <w:tcPr>
            <w:tcW w:type="dxa" w:w="1872"/>
          </w:tcPr>
          <w:p>
            <w:r>
              <w:t>ARK Venture Fund</w:t>
            </w:r>
          </w:p>
        </w:tc>
      </w:tr>
      <w:tr>
        <w:tc>
          <w:tcPr>
            <w:tcW w:type="dxa" w:w="1872"/>
          </w:tcPr>
          <w:p>
            <w:r>
              <w:t>2017</w:t>
            </w:r>
          </w:p>
        </w:tc>
        <w:tc>
          <w:tcPr>
            <w:tcW w:type="dxa" w:w="1872"/>
          </w:tcPr>
          <w:p>
            <w:r>
              <w:t>1</w:t>
            </w:r>
          </w:p>
        </w:tc>
        <w:tc>
          <w:tcPr>
            <w:tcW w:type="dxa" w:w="1872"/>
          </w:tcPr>
          <w:p>
            <w:r>
              <w:t>8.35%</w:t>
            </w:r>
          </w:p>
        </w:tc>
        <w:tc>
          <w:tcPr>
            <w:tcW w:type="dxa" w:w="1872"/>
          </w:tcPr>
          <w:p>
            <w:r>
              <w:t>n/a</w:t>
            </w:r>
          </w:p>
        </w:tc>
        <w:tc>
          <w:tcPr>
            <w:tcW w:type="dxa" w:w="1872"/>
          </w:tcPr>
          <w:p>
            <w:r>
              <w:t>n/a</w:t>
            </w:r>
          </w:p>
        </w:tc>
      </w:tr>
      <w:tr>
        <w:tc>
          <w:tcPr>
            <w:tcW w:type="dxa" w:w="1872"/>
          </w:tcPr>
          <w:p>
            <w:r>
              <w:t>2018</w:t>
            </w:r>
          </w:p>
        </w:tc>
        <w:tc>
          <w:tcPr>
            <w:tcW w:type="dxa" w:w="1872"/>
          </w:tcPr>
          <w:p>
            <w:r>
              <w:t>1</w:t>
            </w:r>
          </w:p>
        </w:tc>
        <w:tc>
          <w:tcPr>
            <w:tcW w:type="dxa" w:w="1872"/>
          </w:tcPr>
          <w:p>
            <w:r>
              <w:t>-4.22%</w:t>
            </w:r>
          </w:p>
        </w:tc>
        <w:tc>
          <w:tcPr>
            <w:tcW w:type="dxa" w:w="1872"/>
          </w:tcPr>
          <w:p>
            <w:r>
              <w:t>n/a</w:t>
            </w:r>
          </w:p>
        </w:tc>
        <w:tc>
          <w:tcPr>
            <w:tcW w:type="dxa" w:w="1872"/>
          </w:tcPr>
          <w:p>
            <w:r>
              <w:t>n/a</w:t>
            </w:r>
          </w:p>
        </w:tc>
      </w:tr>
      <w:tr>
        <w:tc>
          <w:tcPr>
            <w:tcW w:type="dxa" w:w="1872"/>
          </w:tcPr>
          <w:p>
            <w:r>
              <w:t>2019</w:t>
            </w:r>
          </w:p>
        </w:tc>
        <w:tc>
          <w:tcPr>
            <w:tcW w:type="dxa" w:w="1872"/>
          </w:tcPr>
          <w:p>
            <w:r>
              <w:t>1</w:t>
            </w:r>
          </w:p>
        </w:tc>
        <w:tc>
          <w:tcPr>
            <w:tcW w:type="dxa" w:w="1872"/>
          </w:tcPr>
          <w:p>
            <w:r>
              <w:t>31.56%</w:t>
            </w:r>
          </w:p>
        </w:tc>
        <w:tc>
          <w:tcPr>
            <w:tcW w:type="dxa" w:w="1872"/>
          </w:tcPr>
          <w:p>
            <w:r>
              <w:t>n/a</w:t>
            </w:r>
          </w:p>
        </w:tc>
        <w:tc>
          <w:tcPr>
            <w:tcW w:type="dxa" w:w="1872"/>
          </w:tcPr>
          <w:p>
            <w:r>
              <w:t>n/a</w:t>
            </w:r>
          </w:p>
        </w:tc>
      </w:tr>
      <w:tr>
        <w:tc>
          <w:tcPr>
            <w:tcW w:type="dxa" w:w="1872"/>
          </w:tcPr>
          <w:p>
            <w:r>
              <w:t>2020</w:t>
            </w:r>
          </w:p>
        </w:tc>
        <w:tc>
          <w:tcPr>
            <w:tcW w:type="dxa" w:w="1872"/>
          </w:tcPr>
          <w:p>
            <w:r>
              <w:t>1</w:t>
            </w:r>
          </w:p>
        </w:tc>
        <w:tc>
          <w:tcPr>
            <w:tcW w:type="dxa" w:w="1872"/>
          </w:tcPr>
          <w:p>
            <w:r>
              <w:t>116.63%</w:t>
            </w:r>
          </w:p>
        </w:tc>
        <w:tc>
          <w:tcPr>
            <w:tcW w:type="dxa" w:w="1872"/>
          </w:tcPr>
          <w:p>
            <w:r>
              <w:t>n/a</w:t>
            </w:r>
          </w:p>
        </w:tc>
        <w:tc>
          <w:tcPr>
            <w:tcW w:type="dxa" w:w="1872"/>
          </w:tcPr>
          <w:p>
            <w:r>
              <w:t>n/a</w:t>
            </w:r>
          </w:p>
        </w:tc>
      </w:tr>
      <w:tr>
        <w:tc>
          <w:tcPr>
            <w:tcW w:type="dxa" w:w="1872"/>
          </w:tcPr>
          <w:p>
            <w:r>
              <w:t>2021</w:t>
            </w:r>
          </w:p>
        </w:tc>
        <w:tc>
          <w:tcPr>
            <w:tcW w:type="dxa" w:w="1872"/>
          </w:tcPr>
          <w:p>
            <w:r>
              <w:t>1</w:t>
            </w:r>
          </w:p>
        </w:tc>
        <w:tc>
          <w:tcPr>
            <w:tcW w:type="dxa" w:w="1872"/>
          </w:tcPr>
          <w:p>
            <w:r>
              <w:t>72.61%</w:t>
            </w:r>
          </w:p>
        </w:tc>
        <w:tc>
          <w:tcPr>
            <w:tcW w:type="dxa" w:w="1872"/>
          </w:tcPr>
          <w:p>
            <w:r>
              <w:t>n/a</w:t>
            </w:r>
          </w:p>
        </w:tc>
        <w:tc>
          <w:tcPr>
            <w:tcW w:type="dxa" w:w="1872"/>
          </w:tcPr>
          <w:p>
            <w:r>
              <w:t>n/a</w:t>
            </w:r>
          </w:p>
        </w:tc>
      </w:tr>
      <w:tr>
        <w:tc>
          <w:tcPr>
            <w:tcW w:type="dxa" w:w="1872"/>
          </w:tcPr>
          <w:p>
            <w:r>
              <w:t>2022</w:t>
            </w:r>
          </w:p>
        </w:tc>
        <w:tc>
          <w:tcPr>
            <w:tcW w:type="dxa" w:w="1872"/>
          </w:tcPr>
          <w:p>
            <w:r>
              <w:t>1</w:t>
            </w:r>
          </w:p>
        </w:tc>
        <w:tc>
          <w:tcPr>
            <w:tcW w:type="dxa" w:w="1872"/>
          </w:tcPr>
          <w:p>
            <w:r>
              <w:t>-70.31%</w:t>
            </w:r>
          </w:p>
        </w:tc>
        <w:tc>
          <w:tcPr>
            <w:tcW w:type="dxa" w:w="1872"/>
          </w:tcPr>
          <w:p>
            <w:r>
              <w:t>n/a</w:t>
            </w:r>
          </w:p>
        </w:tc>
        <w:tc>
          <w:tcPr>
            <w:tcW w:type="dxa" w:w="1872"/>
          </w:tcPr>
          <w:p>
            <w:r>
              <w:t>n/a</w:t>
            </w:r>
          </w:p>
        </w:tc>
      </w:tr>
      <w:tr>
        <w:tc>
          <w:tcPr>
            <w:tcW w:type="dxa" w:w="1872"/>
          </w:tcPr>
          <w:p>
            <w:r>
              <w:t>2023</w:t>
            </w:r>
          </w:p>
        </w:tc>
        <w:tc>
          <w:tcPr>
            <w:tcW w:type="dxa" w:w="1872"/>
          </w:tcPr>
          <w:p>
            <w:r>
              <w:t>2</w:t>
            </w:r>
          </w:p>
        </w:tc>
        <w:tc>
          <w:tcPr>
            <w:tcW w:type="dxa" w:w="1872"/>
          </w:tcPr>
          <w:p>
            <w:r>
              <w:t>3.68%</w:t>
            </w:r>
          </w:p>
        </w:tc>
        <w:tc>
          <w:tcPr>
            <w:tcW w:type="dxa" w:w="1872"/>
          </w:tcPr>
          <w:p>
            <w:r>
              <w:t>n/a</w:t>
            </w:r>
          </w:p>
        </w:tc>
        <w:tc>
          <w:tcPr>
            <w:tcW w:type="dxa" w:w="1872"/>
          </w:tcPr>
          <w:p>
            <w:r>
              <w:t>61.25%</w:t>
            </w:r>
          </w:p>
        </w:tc>
      </w:tr>
      <w:tr>
        <w:tc>
          <w:tcPr>
            <w:tcW w:type="dxa" w:w="1872"/>
          </w:tcPr>
          <w:p>
            <w:r>
              <w:t>2024</w:t>
            </w:r>
          </w:p>
        </w:tc>
        <w:tc>
          <w:tcPr>
            <w:tcW w:type="dxa" w:w="1872"/>
          </w:tcPr>
          <w:p>
            <w:r>
              <w:t>2</w:t>
            </w:r>
          </w:p>
        </w:tc>
        <w:tc>
          <w:tcPr>
            <w:tcW w:type="dxa" w:w="1872"/>
          </w:tcPr>
          <w:p>
            <w:r>
              <w:t>49.24%</w:t>
            </w:r>
          </w:p>
        </w:tc>
        <w:tc>
          <w:tcPr>
            <w:tcW w:type="dxa" w:w="1872"/>
          </w:tcPr>
          <w:p>
            <w:r>
              <w:t>n/a</w:t>
            </w:r>
          </w:p>
        </w:tc>
        <w:tc>
          <w:tcPr>
            <w:tcW w:type="dxa" w:w="1872"/>
          </w:tcPr>
          <w:p>
            <w:r>
              <w:t>6.69%</w:t>
            </w:r>
          </w:p>
        </w:tc>
      </w:tr>
      <w:tr>
        <w:tc>
          <w:tcPr>
            <w:tcW w:type="dxa" w:w="1872"/>
          </w:tcPr>
          <w:p>
            <w:r>
              <w:t>2025</w:t>
            </w:r>
          </w:p>
        </w:tc>
        <w:tc>
          <w:tcPr>
            <w:tcW w:type="dxa" w:w="1872"/>
          </w:tcPr>
          <w:p>
            <w:r>
              <w:t>3</w:t>
            </w:r>
          </w:p>
        </w:tc>
        <w:tc>
          <w:tcPr>
            <w:tcW w:type="dxa" w:w="1872"/>
          </w:tcPr>
          <w:p>
            <w:r>
              <w:t>69.91%</w:t>
            </w:r>
          </w:p>
        </w:tc>
        <w:tc>
          <w:tcPr>
            <w:tcW w:type="dxa" w:w="1872"/>
          </w:tcPr>
          <w:p>
            <w:r>
              <w:t>-47.96%</w:t>
            </w:r>
          </w:p>
        </w:tc>
        <w:tc>
          <w:tcPr>
            <w:tcW w:type="dxa" w:w="1872"/>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(listed private equity for late-stage growth in a listed BDC), risk_liquidity_match 0/3: fund price is premium-driven and decoupled from NAV, no candidate matches that risk process (fund terms: exchange-traded, continuous dealing at the market price), provider_independence 2/2: provider unaffiliated with the fund (Invesco / Red Rocks): the registry affiliation map ties it to none of the fund's advisers, data_held 2/2: daily public market series held (exchange-traded proxy, Yahoo adjusted close), pricing_basis_match 2/2: both market-priced series.</w:t>
            </w:r>
          </w:p>
        </w:tc>
      </w:tr>
      <w:tr>
        <w:tc>
          <w:tcPr>
            <w:tcW w:type="dxa" w:w="2880"/>
          </w:tcPr>
          <w:p>
            <w:r>
              <w:t>S&amp;P 500 investable proxy (SPY)</w:t>
            </w:r>
          </w:p>
        </w:tc>
        <w:tc>
          <w:tcPr>
            <w:tcW w:type="dxa" w:w="1008"/>
          </w:tcPr>
          <w:p>
            <w:r>
              <w:t>7/12</w:t>
            </w:r>
          </w:p>
        </w:tc>
        <w:tc>
          <w:tcPr>
            <w:tcW w:type="dxa" w:w="5472"/>
          </w:tcPr>
          <w:p>
            <w:r>
              <w:t>fund price is premium/discount-driven and decoupled from NAV. Benchmarking the price benchmarks the premium, not the portfolio Criteria: strategy_match 1/3: adjacent asset class sharing the dominant risk (US large cap for late-stage growth in a listed BDC), risk_liquidity_match 0/3: fund price is premium-driven and decoupled from NAV, no candidate matches that risk process (fund terms: exchange-traded, continuous dealing at the market price), provider_independence 2/2: provider unaffiliated with the fund (SPDR / S&amp;P DJI): the registry affiliation map ties it to none of the fund's advisers, data_held 2/2: daily public market series held (exchange-traded proxy, Yahoo adjusted close), pricing_basis_match 2/2: both market-priced series.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not applicable (exchange-traded).</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2024-05-01 to 2025-04-30): 10.8%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9.2% of the position per year, from tail turnover 20%/yr on the 28.2% of accounts that are separated and active turnover 5%/yr on the rest. Shown beside the filed rate, not blended with it, and likewise a selling rate against market depth.</w:t>
      </w:r>
    </w:p>
    <w:p>
      <w:r>
        <w:t>Cited: cell 3.1, cell 3.3, cell 3.7, plan: plan_restaurant_hourly.json (Form 5500, plan year 2024-05-01 to 2025-04-30).</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casual-dining restaurant group 401(k) plan (~$1.6B, FL)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Flags raised by the record (each restates a typed value or verdict already in the artifacts,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13, partial 4, fetched 1, n/a 10, pending 0. 45 of 45 resolvable, 0 verified, 10 n/a by wrapper.</w:t>
      </w:r>
    </w:p>
    <w:p>
      <w:r>
        <w:t>Of the 44 evidenced cells, 44 carry a source document, 44 a section, 31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1.12</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analytics supplement artifact (premium block)</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