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casual-dining restaurant group 401(k) plan (~$1.6B, FL)</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1.87 vs PSP (reference, not the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expense ratio, AFFE excluded (FY2026, Class I). 2.4 AFFE 0.59%.</w:t>
            </w:r>
          </w:p>
          <w:p>
            <w:r>
              <w:t>2.1 Management fee (rate AND base) (extracted-unverified): 1.40% annualized on daily NET ASSETS (contrast: PAF charges same 1.40% on MANAGED ASSETS incl. leverage —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3.6 $5.8B net assets. 3.9 structural verdict partial, plan-independent.</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2024-05-01 to 2025-04-30): 12,176 separated participants with balances = 28.2% of 43,129 accounts (the near-term liquidity tail), 197,946 active, 4 retirees in pay status, filed outflow proxy 10.75% of beginning net assets (Schedule H totals).</w:t>
            </w:r>
          </w:p>
          <w:p>
            <w:r>
              <w:t>3.8 Redemption stress test (computed, this plan): ILLUSTRATIVE redemption stress test for this plan: filed outflow proxy 10.75% of the position, slider assumption 9.2%, stressed demand 18.2% vs 20% annual wrapper capacity, within wrapper capacity (18.2%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Stated primary benchmark: MSCI World Index.</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 Open-Ended Funds, 'Seasoned Investments' (funds already ~25% invested at closing) and stapled secondaries; (2) Co-Investments - direct equity in operating companies alongside lead Investment Managers (Fund holds minority/non-controlling positions); (3) Primary Investments -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Declared benchmark: MSCI World Index, held, scored 7/12, fails the strategy gate (strategy_match 1/3).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StepStone Private Markets</w:t>
            </w:r>
          </w:p>
        </w:tc>
        <w:tc>
          <w:tcPr>
            <w:tcW w:type="dxa" w:w="1337"/>
          </w:tcPr>
          <w:p>
            <w:r>
              <w:t>Hamilton Lane Private Assets Fund</w:t>
            </w:r>
          </w:p>
        </w:tc>
        <w:tc>
          <w:tcPr>
            <w:tcW w:type="dxa" w:w="1337"/>
          </w:tcPr>
          <w:p>
            <w:r>
              <w:t>KKR Private Equity Conglomerate LLC</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29.43%</w:t>
            </w:r>
          </w:p>
        </w:tc>
        <w:tc>
          <w:tcPr>
            <w:tcW w:type="dxa" w:w="1337"/>
          </w:tcPr>
          <w:p>
            <w:r>
              <w:t>20.77%</w:t>
            </w:r>
          </w:p>
        </w:tc>
        <w:tc>
          <w:tcPr>
            <w:tcW w:type="dxa" w:w="1337"/>
          </w:tcPr>
          <w:p>
            <w:r>
              <w:t>n/a</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8.23%</w:t>
            </w:r>
          </w:p>
        </w:tc>
        <w:tc>
          <w:tcPr>
            <w:tcW w:type="dxa" w:w="1337"/>
          </w:tcPr>
          <w:p>
            <w:r>
              <w:t>16.1%</w:t>
            </w:r>
          </w:p>
        </w:tc>
        <w:tc>
          <w:tcPr>
            <w:tcW w:type="dxa" w:w="1337"/>
          </w:tcPr>
          <w:p>
            <w:r>
              <w:t>n/a</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13.79%</w:t>
            </w:r>
          </w:p>
        </w:tc>
        <w:tc>
          <w:tcPr>
            <w:tcW w:type="dxa" w:w="1337"/>
          </w:tcPr>
          <w:p>
            <w:r>
              <w:t>12.68%</w:t>
            </w:r>
          </w:p>
        </w:tc>
        <w:tc>
          <w:tcPr>
            <w:tcW w:type="dxa" w:w="1337"/>
          </w:tcPr>
          <w:p>
            <w:r>
              <w:t>n/a</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11.82%</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10.76%</w:t>
            </w:r>
          </w:p>
        </w:tc>
        <w:tc>
          <w:tcPr>
            <w:tcW w:type="dxa" w:w="1337"/>
          </w:tcPr>
          <w:p>
            <w:r>
              <w:t>12.59%</w:t>
            </w:r>
          </w:p>
        </w:tc>
        <w:tc>
          <w:tcPr>
            <w:tcW w:type="dxa" w:w="1337"/>
          </w:tcPr>
          <w:p>
            <w:r>
              <w:t>n/a</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16.14%</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10.47%</w:t>
            </w:r>
          </w:p>
        </w:tc>
        <w:tc>
          <w:tcPr>
            <w:tcW w:type="dxa" w:w="1337"/>
          </w:tcPr>
          <w:p>
            <w:r>
              <w:t>14.6%</w:t>
            </w:r>
          </w:p>
        </w:tc>
        <w:tc>
          <w:tcPr>
            <w:tcW w:type="dxa" w:w="1337"/>
          </w:tcPr>
          <w:p>
            <w:r>
              <w:t>n/a</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casual-dining restaurant group 401(k) plan (~$1.6B, FL).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$5.8B</w:t>
            </w:r>
          </w:p>
        </w:tc>
        <w:tc>
          <w:tcPr>
            <w:tcW w:type="dxa" w:w="1152"/>
          </w:tcPr>
          <w:p>
            <w:r>
              <w:t>3.6</w:t>
            </w:r>
          </w:p>
        </w:tc>
      </w:tr>
    </w:tbl>
    <w:p>
      <w:pPr>
        <w:pStyle w:val="Heading2"/>
      </w:pPr>
      <w:r>
        <w:t>Scenario (ILLUSTRATIVE, this plan)</w:t>
      </w:r>
    </w:p>
    <w:p>
      <w:r>
        <w:t>Plan inputs (Form 5500): net assets $1.6B, liquidity tail 28.2% of accounts (12,176 separated participants with balances), filed outflow proxy 10.8% of beginning net assets per year (Schedule H totals of the plan's Form 5500 for plan year 2024-05-01 to 2025-04-30, from the plan record: total expenses less administrative expenses over beginning net assets, an upper bound on benefit payments while Schedule H line 2e is not in the record).</w:t>
      </w:r>
    </w:p>
    <w:p>
      <w:r>
        <w:t>Base demand (filed outflow proxy applied to a 5% allocation = $79.3M): $8.5M/yr = 10.8% of the position per year vs annual wrapper capacity 20%.</w:t>
      </w:r>
    </w:p>
    <w:p>
      <w:r>
        <w:t>Slider assumption (adjustable on the site, not a fact): tail turnover 20%/yr, active turnover 5%/yr, 9.2% of the position per year = $7.3M/yr, shown beside the filed rate, not blended with it.</w:t>
      </w:r>
    </w:p>
    <w:p>
      <w:r>
        <w:t>Stressed (the filed outflow proxy plus the increment the sliders add under stress (tail turnover x2, active turnover x1.5 over the slider assumption)): demand $14.4M/yr = 18.2% of the position. within wrapper capacity (18.2% vs 20%) IF offers are not prorated.</w:t>
      </w:r>
    </w:p>
    <w:p>
      <w:r>
        <w:t>Fund capacity in dollars: $1.2B per year (20% of approx. $5.8B net assets, cell 3.6). The plan's demand at the filed rate is $8.5M per year, 0.73%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2024-05-01 to 2025-04-30): 10.8%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9.2% of the position per year vs 20% annual wrapper capacity, from tail turnover 20%/yr on the 28.2% of accounts that are separated and active turnover 5%/yr on the rest. Shown beside the filed rate, not blended with it. Within 60% of wrapper capacity at these sliders.</w:t>
      </w:r>
    </w:p>
    <w:p>
      <w:pPr>
        <w:pStyle w:val="ListBullet"/>
      </w:pPr>
      <w:r>
        <w:t>Fund capacity in dollars: 20% of approx. $5.8B net assets (cell 3.6) is $1.2B per year. At a 5% allocation ($79.3M) the plan's demand at the filed rate is $8.5M per year, 0.73%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plan_restaurant_hourly.json (Form 5500, plan year 2024-05-01 to 2025-04-30).</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casual-dining restaurant group 401(k) plan (~$1.6B, FL).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casual-dining restaurant group 401(k) plan (~$1.6B, FL)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3, fetched 1, n/a 13, pending 0. 42 of 42 resolvable, 0 verified, 13 n/a by wrapper.</w:t>
      </w:r>
    </w:p>
    <w:p>
      <w:r>
        <w:t>Of the 41 evidenced cells, 41 carry a source document, 40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1.12</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5.6</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