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Ares Private Markets Fund (tender-offer fund ('40 Act), CIK 1876006)</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CONDITIONAL-WEAK.</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1.5712, Direct Alpha 11.97%/yr over 2022-04-01 to 2026-03-31.</w:t>
      </w:r>
    </w:p>
    <w:p>
      <w:r>
        <w:t>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1.5712, Direct Alpha 11.97%/yr, 2022-04-01 to 2026-03-31</w:t>
            </w:r>
          </w:p>
        </w:tc>
      </w:tr>
      <w:tr>
        <w:tc>
          <w:tcPr>
            <w:tcW w:type="dxa" w:w="1152"/>
          </w:tcPr>
          <w:p>
            <w:r>
              <w:t>SEC-required comparator</w:t>
            </w:r>
          </w:p>
        </w:tc>
        <w:tc>
          <w:tcPr>
            <w:tcW w:type="dxa" w:w="3456"/>
          </w:tcPr>
          <w:p>
            <w:r>
              <w:t>MSCI World Index</w:t>
            </w:r>
          </w:p>
        </w:tc>
        <w:tc>
          <w:tcPr>
            <w:tcW w:type="dxa" w:w="864"/>
          </w:tcPr>
          <w:p>
            <w:r/>
          </w:p>
        </w:tc>
        <w:tc>
          <w:tcPr>
            <w:tcW w:type="dxa" w:w="3888"/>
          </w:tcPr>
          <w:p>
            <w:r>
              <w:t>held, scored 7/12, fails the strategy gate (strategy_match 1/3). KS-PME 1.1283, Direct Alpha 3.07%/yr, 2022-04-01 to 2026-03-31</w:t>
            </w:r>
          </w:p>
        </w:tc>
      </w:tr>
      <w:tr>
        <w:tc>
          <w:tcPr>
            <w:tcW w:type="dxa" w:w="1152"/>
          </w:tcPr>
          <w:p>
            <w:r>
              <w:t>Peer comparison (paragraphs (g) and (h))</w:t>
            </w:r>
          </w:p>
        </w:tc>
        <w:tc>
          <w:tcPr>
            <w:tcW w:type="dxa" w:w="3456"/>
          </w:tcPr>
          <w:p>
            <w:r>
              <w:t>Peer composite, evergreen private equity cohort without Ares Private Markets Fund</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(tendered-versus-accepted amounts and proration incidence per offer are not printed (final tender amendments not on disk). Four offers in each of FY2025 and FY2026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tendered-versus-accepted amounts and proration incidence per offer are not printed (final tender amendments not on disk). Four offers in each of FY2025 and FY2026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5.02% expense ratio, gross, before a 0.03% waiver, including the 1.60% incentive-fee drag, AFFE excluded (FY2026, Class I)</w:t>
            </w:r>
          </w:p>
        </w:tc>
        <w:tc>
          <w:tcPr>
            <w:tcW w:type="dxa" w:w="2880"/>
          </w:tcPr>
          <w:p>
            <w:r>
              <w:t>extracted-unverified</w:t>
            </w:r>
          </w:p>
        </w:tc>
      </w:tr>
      <w:tr>
        <w:tc>
          <w:tcPr>
            <w:tcW w:type="dxa" w:w="2880"/>
          </w:tcPr>
          <w:p>
            <w:r>
              <w:t>2.4 AFFE</w:t>
            </w:r>
          </w:p>
        </w:tc>
        <w:tc>
          <w:tcPr>
            <w:tcW w:type="dxa" w:w="3600"/>
          </w:tcPr>
          <w:p>
            <w:r>
              <w:t>AFFE 1.00%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28, verified 0, computed 11,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