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Meaningful benchmark (paragraph (k)), Cliffwater Direct Lending Index (CDLI) scored 9/12: no comparison computed (cited, series not in the record: no comparison computed).</w:t>
            </w:r>
          </w:p>
          <w:p>
            <w:r>
              <w:t>1.9 Stress-window performance (computed): Stress observation from the printed fiscal-year returns on record.</w:t>
            </w:r>
          </w:p>
          <w:p>
            <w:r>
              <w:t>1.11 Track record &amp; manager tenure (extracted-unverified): Track record starts at escrow break 2021-01-07 (trust formed 2020-02-11) -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CONDITIONAL-WEAK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CDLI selected, 9/12.</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requests prorated in the filings on record):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zero index references.</w:t>
      </w:r>
    </w:p>
    <w:p>
      <w:pPr>
        <w:pStyle w:val="Heading2"/>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Blackstone Private Credit Fund</w:t>
            </w:r>
          </w:p>
        </w:tc>
        <w:tc>
          <w:tcPr>
            <w:tcW w:type="dxa" w:w="1337"/>
          </w:tcPr>
          <w:p>
            <w:r>
              <w:t>Cliffwater Corporate Lending Fund</w:t>
            </w:r>
          </w:p>
        </w:tc>
        <w:tc>
          <w:tcPr>
            <w:tcW w:type="dxa" w:w="1337"/>
          </w:tcPr>
          <w:p>
            <w:r>
              <w:t>PIMCO Flexible Credit Income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2.86%</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10.63%</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4.29%</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12.6%</w:t>
            </w:r>
          </w:p>
        </w:tc>
        <w:tc>
          <w:tcPr>
            <w:tcW w:type="dxa" w:w="1337"/>
          </w:tcPr>
          <w:p>
            <w:r>
              <w:t>10.38%</w:t>
            </w:r>
          </w:p>
        </w:tc>
        <w:tc>
          <w:tcPr>
            <w:tcW w:type="dxa" w:w="1337"/>
          </w:tcPr>
          <w:p>
            <w:r>
              <w:t>11.29%</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3.6%</w:t>
            </w:r>
          </w:p>
        </w:tc>
        <w:tc>
          <w:tcPr>
            <w:tcW w:type="dxa" w:w="1337"/>
          </w:tcPr>
          <w:p>
            <w:r>
              <w:t>2.05%</w:t>
            </w:r>
          </w:p>
        </w:tc>
        <w:tc>
          <w:tcPr>
            <w:tcW w:type="dxa" w:w="1337"/>
          </w:tcPr>
          <w:p>
            <w:r>
              <w:t>-15.36%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14.4%</w:t>
            </w:r>
          </w:p>
        </w:tc>
        <w:tc>
          <w:tcPr>
            <w:tcW w:type="dxa" w:w="1337"/>
          </w:tcPr>
          <w:p>
            <w:r>
              <w:t>12.66%</w:t>
            </w:r>
          </w:p>
        </w:tc>
        <w:tc>
          <w:tcPr>
            <w:tcW w:type="dxa" w:w="1337"/>
          </w:tcPr>
          <w:p>
            <w:r>
              <w:t>9.25%</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11%</w:t>
            </w:r>
          </w:p>
        </w:tc>
        <w:tc>
          <w:tcPr>
            <w:tcW w:type="dxa" w:w="1337"/>
          </w:tcPr>
          <w:p>
            <w:r>
              <w:t>12.62%</w:t>
            </w:r>
          </w:p>
        </w:tc>
        <w:tc>
          <w:tcPr>
            <w:tcW w:type="dxa" w:w="1337"/>
          </w:tcPr>
          <w:p>
            <w:r>
              <w:t>15.27%</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8%</w:t>
            </w:r>
          </w:p>
        </w:tc>
        <w:tc>
          <w:tcPr>
            <w:tcW w:type="dxa" w:w="1337"/>
          </w:tcPr>
          <w:p>
            <w:r>
              <w:t>8.92%</w:t>
            </w:r>
          </w:p>
        </w:tc>
        <w:tc>
          <w:tcPr>
            <w:tcW w:type="dxa" w:w="1337"/>
          </w:tcPr>
          <w:p>
            <w:r>
              <w:t>12.2%</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media/technology company 401(k) plan (~$570M, New York) (ILLUSTRATIVE): CONDITIONAL-WEAK.</w:t>
      </w:r>
    </w:p>
    <w:p>
      <w:r>
        <w:t>Meaningful benchmark (paragraph (k)): Cliffwater Direct Lending Index (CDLI) at 9/12, cited, series not in the record. Peer comparison (paragraphs (g) and (h)): relative wealth ratio 1.0986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gating precedent, repurchases prorated under stress (cell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11, partial 4,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1.12</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