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media/technology company 401(k) plan (~$570M, New York)</w:t>
        <w:br/>
      </w:r>
      <w:r>
        <w:t>Product: Blackstone Real Estate Income Trust Inc (non-traded REIT ('34 Act reporting), CIK 1662972)</w:t>
        <w:br/>
      </w:r>
      <w:r>
        <w:t>Record as of 2026-09-04. DRAFT, generated by the build from the record. The decision memo for the same plan and product is a separate document.</w:t>
      </w:r>
    </w:p>
    <w:p>
      <w:pPr>
        <w:pStyle w:val="Heading1"/>
      </w:pPr>
      <w:r>
        <w:t>Summary</w:t>
      </w:r>
    </w:p>
    <w:p>
      <w:r>
        <w:t>Structural liquidity verdict: CONDITIONAL-WEAK (typed facts, plan-independent). Scenario verdict under this plan (ILLUSTRATIVE, default sliders): CONDITIONAL-WEAK.</w:t>
      </w:r>
    </w:p>
    <w:p>
      <w:r>
        <w:t>Meaningful benchmark (paragraph (k)): NCREIF Fund Index - ODCE (private core RE) at 9/12, no comparison computed (cited, series not in the record: no comparison computed).</w:t>
      </w:r>
    </w:p>
    <w:p>
      <w:r>
        <w:t>Reference comparison, not the meaningful benchmark: Listed REIT investable proxy (VNQ), KS-PME 0.9064, Direct Alpha -3.22%/yr over 2022-12-31 to 2025-12-31.</w:t>
      </w:r>
    </w:p>
    <w:p>
      <w:r>
        <w:t>Peer comparison (paragraphs (g) and (h)): composite refused, fewer than 3 peers remain after leaving Blackstone Real Estate Income Trust Inc out (2: Starwood Real Estate Income Trust, Inc., JLL Income Property Trust, Inc.).</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fewer than 3 peers remain after leaving Blackstone Real Estate Income Trust Inc out (2: Starwood Real Estate Income Trust, Inc., JLL Income Property Trust, Inc.) (cell 1.12)</w:t>
      </w:r>
    </w:p>
    <w:p>
      <w:pPr>
        <w:pStyle w:val="ListBullet"/>
      </w:pPr>
      <w:r>
        <w:t>Liquidity: gating precedent, repurchases prorated under stress (cell 3.3)</w:t>
      </w:r>
    </w:p>
    <w:p>
      <w:pPr>
        <w:pStyle w:val="ListBullet"/>
      </w:pPr>
      <w:r>
        <w:t>Liquidity: ILLUSTRATIVE scenario verdict conditional-weak under this plan (the filed outflow proxy or the stressed demand above wrapper capacity)</w:t>
      </w:r>
    </w:p>
    <w:p>
      <w:r>
        <w:t>Evidence coverage: 43 of 43 resolvable, 0 verified, 12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9/12.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NCREIF Fund Index - ODCE (private core RE)</w:t>
            </w:r>
          </w:p>
        </w:tc>
        <w:tc>
          <w:tcPr>
            <w:tcW w:type="dxa" w:w="864"/>
          </w:tcPr>
          <w:p>
            <w:r>
              <w:t>9/12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Listed REIT investable proxy (VNQ)</w:t>
            </w:r>
          </w:p>
        </w:tc>
        <w:tc>
          <w:tcPr>
            <w:tcW w:type="dxa" w:w="864"/>
          </w:tcPr>
          <w:p>
            <w:r>
              <w:t>8/12</w:t>
            </w:r>
          </w:p>
        </w:tc>
        <w:tc>
          <w:tcPr>
            <w:tcW w:type="dxa" w:w="3888"/>
          </w:tcPr>
          <w:p>
            <w:r>
              <w:t>KS-PME 0.9064, Direct Alpha -3.22%/yr, 2022-12-31 to 2025-12-31</w:t>
            </w:r>
          </w:p>
        </w:tc>
      </w:tr>
      <w:tr>
        <w:tc>
          <w:tcPr>
            <w:tcW w:type="dxa" w:w="1152"/>
          </w:tcPr>
          <w:p>
            <w:r>
              <w:t>Peer comparison (paragraphs (g) and (h))</w:t>
            </w:r>
          </w:p>
        </w:tc>
        <w:tc>
          <w:tcPr>
            <w:tcW w:type="dxa" w:w="3456"/>
          </w:tcPr>
          <w:p>
            <w:r>
              <w:t>Peer composite, non-traded real estate cohort without Blackstone Real Estate Income Trust Inc</w:t>
            </w:r>
          </w:p>
        </w:tc>
        <w:tc>
          <w:tcPr>
            <w:tcW w:type="dxa" w:w="864"/>
          </w:tcPr>
          <w:p>
            <w:r>
              <w:t>not scored</w:t>
            </w:r>
          </w:p>
        </w:tc>
        <w:tc>
          <w:tcPr>
            <w:tcW w:type="dxa" w:w="3888"/>
          </w:tcPr>
          <w:p>
            <w:r>
              <w:t>composite refused: fewer than 3 peers remain after leaving Blackstone Real Estate Income Trust Inc out (2: Starwood Real Estate Income Trust, Inc., JLL Income Property Trust, Inc.)</w:t>
            </w:r>
          </w:p>
        </w:tc>
      </w:tr>
      <w:tr>
        <w:tc>
          <w:tcPr>
            <w:tcW w:type="dxa" w:w="1152"/>
          </w:tcPr>
          <w:p>
            <w:r>
              <w:t>rejected</w:t>
            </w:r>
          </w:p>
        </w:tc>
        <w:tc>
          <w:tcPr>
            <w:tcW w:type="dxa" w:w="3456"/>
          </w:tcPr>
          <w:p>
            <w:r>
              <w:t>Listed REIT investable proxy (VNQ)</w:t>
            </w:r>
          </w:p>
        </w:tc>
        <w:tc>
          <w:tcPr>
            <w:tcW w:type="dxa" w:w="864"/>
          </w:tcPr>
          <w:p>
            <w:r>
              <w:t>8/12</w:t>
            </w:r>
          </w:p>
        </w:tc>
        <w:tc>
          <w:tcPr>
            <w:tcW w:type="dxa" w:w="3888"/>
          </w:tcPr>
          <w:p>
            <w:r>
              <w:t>ranked below the selected candidate: 8/12 vs 9/12 for NFI-ODCE</w:t>
            </w:r>
          </w:p>
        </w:tc>
      </w:tr>
    </w:tbl>
    <w:p>
      <w:pPr>
        <w:pStyle w:val="Heading1"/>
      </w:pPr>
      <w:r>
        <w:t>Exhibit B. Liquidity match for this plan</w:t>
      </w:r>
    </w:p>
    <w:p>
      <w:r>
        <w:t>Plan: US media/technology company 401(k) plan (~$570M, New York).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CONDITIONAL-WEAK</w:t>
      </w:r>
    </w:p>
    <w:p>
      <w:pPr>
        <w:pStyle w:val="ListBullet"/>
      </w:pPr>
      <w:r>
        <w:t>STRUCTURAL GAP: a participant-directed 404(c) menu assumes daily pricing and daily participant liquidity, whereas this wrapper deals monthly with caps of 2% per month and 5% per quarter on aggregate NAV. Direct DIA use requires a bridging structure: CIT sleeve, managed account, or TDF sleeve (cell 3.5).</w:t>
      </w:r>
    </w:p>
    <w:p>
      <w:pPr>
        <w:pStyle w:val="ListBullet"/>
      </w:pPr>
      <w:r>
        <w:t>Gating precedent: this issuer has prorated repurchases when requests exceeded caps (3.3). Capacity on paper has failed in stress before.</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REIT</w:t>
            </w:r>
          </w:p>
        </w:tc>
        <w:tc>
          <w:tcPr>
            <w:tcW w:type="dxa" w:w="1152"/>
          </w:tcPr>
          <w:p>
            <w:r>
              <w:t>6.1</w:t>
            </w:r>
          </w:p>
        </w:tc>
      </w:tr>
      <w:tr>
        <w:tc>
          <w:tcPr>
            <w:tcW w:type="dxa" w:w="2448"/>
          </w:tcPr>
          <w:p>
            <w:r>
              <w:t>Dealing terms</w:t>
            </w:r>
          </w:p>
        </w:tc>
        <w:tc>
          <w:tcPr>
            <w:tcW w:type="dxa" w:w="5760"/>
          </w:tcPr>
          <w:p>
            <w:r>
              <w:t>monthly repurchases, 2% cap per month and 5% cap per quarter on aggregate NAV</w:t>
            </w:r>
          </w:p>
        </w:tc>
        <w:tc>
          <w:tcPr>
            <w:tcW w:type="dxa" w:w="1152"/>
          </w:tcPr>
          <w:p>
            <w:r>
              <w:t>3.1</w:t>
            </w:r>
          </w:p>
        </w:tc>
      </w:tr>
      <w:tr>
        <w:tc>
          <w:tcPr>
            <w:tcW w:type="dxa" w:w="2448"/>
          </w:tcPr>
          <w:p>
            <w:r>
              <w:t>Repurchase caps</w:t>
            </w:r>
          </w:p>
        </w:tc>
        <w:tc>
          <w:tcPr>
            <w:tcW w:type="dxa" w:w="5760"/>
          </w:tcPr>
          <w:p>
            <w:r>
              <w:t>2% per month and 5% per quarter, binding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yes, prorated under stress</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r>
        <w:tc>
          <w:tcPr>
            <w:tcW w:type="dxa" w:w="2448"/>
          </w:tcPr>
          <w:p>
            <w:r>
              <w:t>Fund net assets (for the dollar capacity)</w:t>
            </w:r>
          </w:p>
        </w:tc>
        <w:tc>
          <w:tcPr>
            <w:tcW w:type="dxa" w:w="5760"/>
          </w:tcPr>
          <w:p>
            <w:r>
              <w:t>not typed: aggregate NAV printed in the MD&amp;A NAV-by-class table but not yet carried into a typed cell. Verification-queue item</w:t>
            </w:r>
          </w:p>
        </w:tc>
        <w:tc>
          <w:tcPr>
            <w:tcW w:type="dxa" w:w="1152"/>
          </w:tcPr>
          <w:p>
            <w:r>
              <w:t>1.1</w:t>
            </w:r>
          </w:p>
        </w:tc>
      </w:tr>
    </w:tbl>
    <w:p>
      <w:pPr>
        <w:pStyle w:val="Heading2"/>
      </w:pPr>
      <w:r>
        <w:t>Scenario (ILLUSTRATIVE, this plan)</w:t>
      </w:r>
    </w:p>
    <w:p>
      <w:r>
        <w:t>Plan inputs (Form 5500): net assets $565.8M, liquidity tail 36.1% of accounts (1,847 separated participants with balances), filed outflow proxy 11.7%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$28.3M): $3.3M/yr = 11.7% of the position per year vs annual wrapper capacity 20%.</w:t>
      </w:r>
    </w:p>
    <w:p>
      <w:r>
        <w:t>Slider assumption (adjustable on the site, not a fact): tail turnover 20%/yr, active turnover 5%/yr, 10.4% of the position per year = $2.9M/yr, shown beside the filed rate, not blended with it.</w:t>
      </w:r>
    </w:p>
    <w:p>
      <w:r>
        <w:t>Stressed (the filed outflow proxy plus the increment the sliders add under stress (tail turnover x2, active turnover x1.5 over the slider assumption)): demand $5.8M/yr = 20.5% of the position. EXCEEDS annual wrapper capacity (20.5% vs 20%). Unmet demand rolls into later windows (gating-equivalent outcome).</w:t>
      </w:r>
    </w:p>
    <w:p>
      <w:r>
        <w:t>Fund capacity in dollars: not computable, the fund's net assets are not typed in the record (aggregate NAV printed in the MD&amp;A NAV-by-class table but not yet carried into a typed cell. Verification-queue item), so the plan's dollar demand cannot be set against the fund's dollar capacity and the allocation slider is not shown.</w:t>
      </w:r>
    </w:p>
    <w:p>
      <w:r>
        <w:t>Scenario verdict (ILLUSTRATIVE, this plan): CONDITIONAL-WEAK.</w:t>
      </w:r>
    </w:p>
    <w:p>
      <w:pPr>
        <w:pStyle w:val="ListBullet"/>
      </w:pPr>
      <w:r>
        <w:t>Capacity: 2% per month and 5% per quarter on aggregate NAV: the binding annual figure is 20% of the position per year (the quarterly cap). This is a FUND-level cap shared by every holder, so the plan's position is served only while offers are not oversubscribed.</w:t>
      </w:r>
    </w:p>
    <w:p>
      <w:pPr>
        <w:pStyle w:val="ListBullet"/>
      </w:pPr>
      <w:r>
        <w:t>Filed outflow proxy (Schedule H, plan year 2024-01-01 to 2024-12-31): 11.7%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10.4% of the position per year vs 20% annual wrapper capacity, from tail turnover 20%/yr on the 36.1% of accounts that are separated and active turnover 5%/yr on the rest. Shown beside the filed rate, not blended with it. Within 60% of wrapper capacity at these sliders.</w:t>
      </w:r>
    </w:p>
    <w:p>
      <w:pPr>
        <w:pStyle w:val="ListBullet"/>
      </w:pPr>
      <w:r>
        <w:t>Scenario verdict (ILLUSTRATIVE, this plan): conditional-weak.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3.7, plan: plan_tech_media.json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1.25% on NAV</w:t>
            </w:r>
          </w:p>
        </w:tc>
        <w:tc>
          <w:tcPr>
            <w:tcW w:type="dxa" w:w="2880"/>
          </w:tcPr>
          <w:p>
            <w:r>
              <w:t>extracted-unverified</w:t>
            </w:r>
          </w:p>
        </w:tc>
      </w:tr>
      <w:tr>
        <w:tc>
          <w:tcPr>
            <w:tcW w:type="dxa" w:w="2880"/>
          </w:tcPr>
          <w:p>
            <w:r>
              <w:t>2.2 Incentive fee terms</w:t>
            </w:r>
          </w:p>
        </w:tc>
        <w:tc>
          <w:tcPr>
            <w:tcW w:type="dxa" w:w="3600"/>
          </w:tcPr>
          <w:p>
            <w:r>
              <w:t>no typed fact for this cell</w:t>
            </w:r>
          </w:p>
        </w:tc>
        <w:tc>
          <w:tcPr>
            <w:tcW w:type="dxa" w:w="2880"/>
          </w:tcPr>
          <w:p>
            <w:r>
              <w:t>partial</w:t>
            </w:r>
          </w:p>
        </w:tc>
      </w:tr>
      <w:tr>
        <w:tc>
          <w:tcPr>
            <w:tcW w:type="dxa" w:w="2880"/>
          </w:tcPr>
          <w:p>
            <w:r>
              <w:t>2.3 Total expense ratio &amp; waivers</w:t>
            </w:r>
          </w:p>
        </w:tc>
        <w:tc>
          <w:tcPr>
            <w:tcW w:type="dxa" w:w="3600"/>
          </w:tcPr>
          <w:p>
            <w:r>
              <w:t>not applicable, the record states why</w:t>
            </w:r>
          </w:p>
        </w:tc>
        <w:tc>
          <w:tcPr>
            <w:tcW w:type="dxa" w:w="2880"/>
          </w:tcPr>
          <w:p>
            <w:r>
              <w:t>n/a - not publicly available: no TER disclosure exists for a '34-Act REIT (10-K prints no expense ratio - zero hits in FY2025 10-K and Q2 2026 10-Q); fee burden components extracted in 2.1/2.2/2.6</w:t>
            </w:r>
          </w:p>
        </w:tc>
      </w:tr>
      <w:tr>
        <w:tc>
          <w:tcPr>
            <w:tcW w:type="dxa" w:w="2880"/>
          </w:tcPr>
          <w:p>
            <w:r>
              <w:t>2.4 AFFE</w:t>
            </w:r>
          </w:p>
        </w:tc>
        <w:tc>
          <w:tcPr>
            <w:tcW w:type="dxa" w:w="3600"/>
          </w:tcPr>
          <w:p>
            <w:r>
              <w:t>no AFFE line</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2% &lt; 1 year</w:t>
            </w:r>
          </w:p>
        </w:tc>
        <w:tc>
          <w:tcPr>
            <w:tcW w:type="dxa" w:w="2880"/>
          </w:tcPr>
          <w:p>
            <w:r>
              <w:t>extracted-unverified</w:t>
            </w:r>
          </w:p>
        </w:tc>
      </w:tr>
      <w:tr>
        <w:tc>
          <w:tcPr>
            <w:tcW w:type="dxa" w:w="2880"/>
          </w:tcPr>
          <w:p>
            <w:r>
              <w:t>6.4 Tax reporting (1099 vs K-1)</w:t>
            </w:r>
          </w:p>
        </w:tc>
        <w:tc>
          <w:tcPr>
            <w:tcW w:type="dxa" w:w="3600"/>
          </w:tcPr>
          <w:p>
            <w:r>
              <w:t>no typed fact for this cell</w:t>
            </w:r>
          </w:p>
        </w:tc>
        <w:tc>
          <w:tcPr>
            <w:tcW w:type="dxa" w:w="2880"/>
          </w:tcPr>
          <w:p>
            <w:r>
              <w:t>partial</w:t>
            </w:r>
          </w:p>
        </w:tc>
      </w:tr>
    </w:tbl>
    <w:p>
      <w:pPr>
        <w:pStyle w:val="Heading1"/>
      </w:pPr>
      <w:r>
        <w:t>Exhibit D. Peer cohort placement</w:t>
      </w:r>
    </w:p>
    <w:p>
      <w:r>
        <w:t>Cohort Non-traded NAV REITs (n=3). Non-traded monthly-NAV REIT with 2%/5% repurchase plan - the cohort's reference member.</w:t>
      </w:r>
    </w:p>
    <w:p>
      <w:r>
        <w:t>Cohort placement (non-traded real estate cohort): mgmt fee: at the cohort median of 1.25 (n=3, too small for percentile language) | expense ratio (bases differ, see notes): fact unavailable for this member | repurchase cap: at the cohort median of 2 (n=3, too small for percentile language). Statistics and per-member values are in the cohort artifact, membership rationales in the typed facts.</w:t>
      </w:r>
    </w:p>
    <w:p>
      <w:pPr>
        <w:pStyle w:val="ListBullet"/>
      </w:pPr>
      <w:r>
        <w:t>NAV-CADENCE MIX: daily, monthly, and quarterly NAV processes embed different appraisal smoothing. Volatility and drawdown comparisons inherit that difference (see de-smoothing lab). [typed per product: breit: monthly, jll_ipt: daily, sreit: monthly]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w:t>
      </w:r>
    </w:p>
    <w:p>
      <w:pPr>
        <w:pStyle w:val="Heading1"/>
      </w:pPr>
      <w:r>
        <w:t>Provenance</w:t>
      </w:r>
    </w:p>
    <w:p>
      <w:r>
        <w:t>Cell status for this product: structured 0, extracted-unverified 20, verified 0, computed 14, partial 8, fetched 1, n/a 12,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