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Blackstone Real Estate Income Trust Inc (non-traded REIT ('34 Act reporting), CIK 1662972)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0.91 vs VNQ (reference, not the benchmark).</w:t>
            </w:r>
          </w:p>
          <w:p>
            <w:r>
              <w:t>1.1 Net total return series (extracted-unverified): FULL printed monthly NAV/share series, Class I, Jan 2023 - Dec 2025 (36 points) + Jun 2026 from the 10-Q - structured at the monthly NAV series on record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NAV-path max drawdown -7.93%.</w:t>
            </w:r>
          </w:p>
          <w:p>
            <w:r>
              <w:t>1.7 De-smoothed volatility (computed): De-smoothed (Geltner AR1) annualized NAV-path volatility 4.12% vs 2.41% observed (lag-1 autocorrelation rho 0.483, n=35, printed monthly NAV path 2023-01-31 to 2025-12-31 (contiguous monthly)).</w:t>
            </w:r>
          </w:p>
          <w:p>
            <w:r>
              <w:t>1.8 Risk-adjusted metrics (PME etc) (computed): Meaningful benchmark (paragraph (k)), NCREIF Fund Index - ODCE (private core RE) scored 9/12: no comparison computed (cited, series not in the record: no comparison computed).</w:t>
            </w:r>
          </w:p>
          <w:p>
            <w:r>
              <w:t>1.9 Stress-window performance (computed): Stress observation from the printed fiscal-year returns on record.</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1.12 Peer comparison (paragraphs (g) and (h)) (computed): Peer comparison (paragraphs (g) and (h)): non-traded real estate cohort, peers Starwood Real Estate Income Trust, Inc., JLL Income Property Trust, Inc., fund return basis filed calendar-year returns (December fiscal year).</w:t>
            </w:r>
          </w:p>
          <w:p>
            <w:r>
              <w:t>Not applicable: 1.3 no gross/net expense-ratio or financial-highlights disclosure exists for a '34-Act non-traded REIT, and no fee-waiver/expense-support arrangement is disclosed, so no gross-vs-net spread exists to extract. 1.10 not exchange-listed.</w:t>
            </w:r>
          </w:p>
        </w:tc>
      </w:tr>
      <w:tr>
        <w:tc>
          <w:tcPr>
            <w:tcW w:type="dxa" w:w="1728"/>
          </w:tcPr>
          <w:p>
            <w:r>
              <w:t>2. Fees (h)</w:t>
            </w:r>
          </w:p>
        </w:tc>
        <w:tc>
          <w:tcPr>
            <w:tcW w:type="dxa" w:w="7632"/>
          </w:tcPr>
          <w:p>
            <w:r>
              <w:t>Typed facts: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 AND a live miss: FY2024 total return did not exceed the hurdle, producing a $105.0M Quarterly Shortfall; from 1/1/2025 the 2024 Shortfall Obligation accrues 5% annual interest compounded quarterly.</w:t>
            </w:r>
          </w:p>
          <w:p>
            <w:r>
              <w:t>2.4 AFFE (extracted-unverified): Not applicable —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 a 2% deduction, subject to limited exceptions.</w:t>
            </w:r>
          </w:p>
          <w:p>
            <w:r>
              <w:t>2.9 Fee peer percentile (computed): Cohort placement (non-traded real estate cohort):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 the 10-K acknowledges them only qualitatively, with no rates or ranges printed.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monthly dealing, 2% cap per month and 5% cap per quarter on aggregate NAV. 3.3 gating history: yes, prorated under stress. 3.9 structural verdict conditional-weak, plan-independent.</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CONDITIONAL-WEAK (typed facts, plan-independent). Scenario verdict under this plan (ILLUSTRATIVE): CONDITIONAL-WEAK. Source: this plan's liquidity match.</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0.483 (n=35), observed 2.41% vs de-smoothed 4.12%, heavy smoothing consistent with monthly appraisal marks.</w:t>
            </w:r>
          </w:p>
          <w:p>
            <w:r>
              <w:t>Not applicable: 4.7 not exchange-listed. 4.9 CIT only.</w:t>
            </w:r>
          </w:p>
        </w:tc>
      </w:tr>
      <w:tr>
        <w:tc>
          <w:tcPr>
            <w:tcW w:type="dxa" w:w="1728"/>
          </w:tcPr>
          <w:p>
            <w:r>
              <w:t>5. Performance Benchmarks (k)</w:t>
            </w:r>
          </w:p>
        </w:tc>
        <w:tc>
          <w:tcPr>
            <w:tcW w:type="dxa" w:w="7632"/>
          </w:tcPr>
          <w:p>
            <w:r>
              <w:t>Typed facts: 5.3 NFI-ODCE selected, 9/12.</w:t>
            </w:r>
          </w:p>
          <w:p>
            <w:r>
              <w:t>5.1 Self-declared benchmark (extracted-unverified): ABSENCE DOCUMENTED: BREIT declares NO benchmark index anywhere in the FY2025 10-K.</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2022-12-31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 (and to a lesser extent outside the U.S.), plus real estate debt to a lesser extent.</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 searched 10-K 2026-02-27 and 10-Q 2026-08-07 for '1099'/'K-1'/'Schedule K': only XBRL context-id artifacts, no Form 1099 text.</w:t>
            </w:r>
          </w:p>
          <w:p>
            <w:r>
              <w:t>6.5 Service-provider web (partial): PARTIAL: names as printed in 10-K — Auditor: Deloitte &amp; Touche LLP, New York, New York (auditor since 2016; PCAOB ID No. 34).</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NCREIF Fund Index - ODCE (private core RE) (score 9/12)</w:t>
      </w:r>
    </w:p>
    <w:p>
      <w:r>
        <w:t>Comparison not computed: cited, series not in the record: no comparison computed. The candidate is selected on its own descriptors. No number is substituted.</w:t>
      </w:r>
    </w:p>
    <w:p>
      <w:pPr>
        <w:pStyle w:val="ListBullet"/>
      </w:pPr>
      <w:r>
        <w:t>strategy_match 3/3: a private-market index of real estate for a core-plus non-traded real estate fund</w:t>
      </w:r>
    </w:p>
    <w:p>
      <w:pPr>
        <w:pStyle w:val="ListBullet"/>
      </w:pPr>
      <w:r>
        <w:t>risk_liquidity_match 2/3: appraisal-based index of periodically dealt funds (monthly dealing at NAV under 2% cap per month and 5% cap per quarter, requests prorated in the filings on record). The constituents' leverage regime is not typed in the record, so the full match is not claimed</w:t>
      </w:r>
    </w:p>
    <w:p>
      <w:pPr>
        <w:pStyle w:val="ListBullet"/>
      </w:pPr>
      <w:r>
        <w:t>provider_independence 2/2: provider unaffiliated with the fund (NCREIF):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Listed REIT investable proxy (VNQ)</w:t>
      </w:r>
    </w:p>
    <w:p>
      <w:r>
        <w:t>Reference comparison on the highest-ranked held public market series: not the meaningful benchmark.</w:t>
      </w:r>
    </w:p>
    <w:p>
      <w:r>
        <w:t>Window 2022-12-31 to 2025-12-31: fund 3.14%/yr (filed calendar-year returns (December fiscal year)) vs the public series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BREIT declares no benchmark index anywhere in the FY2025 10-K.</w:t>
      </w:r>
    </w:p>
    <w:p>
      <w:pPr>
        <w:pStyle w:val="Heading2"/>
      </w:pPr>
      <w:r>
        <w:t>Peer comparison (paragraphs (g) and (h)): non-traded real estate cohort</w:t>
      </w:r>
    </w:p>
    <w:p>
      <w:r>
        <w:t>Peers: Starwood Real Estate Income Trust, Inc., JLL Income Property Trust, Inc.. This is the history of similar investments, not the benchmark, and it is never a public market equivalent.</w:t>
      </w:r>
    </w:p>
    <w:p>
      <w:r>
        <w:t>Composite refused: fewer than 3 peers remain after leaving Blackstone Real Estate Income Trust Inc out (2: Starwood Real Estate Income Trust, Inc., JLL Income Property Trust, Inc.).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Blackstone Real Estate Income Trust Inc</w:t>
            </w:r>
          </w:p>
        </w:tc>
        <w:tc>
          <w:tcPr>
            <w:tcW w:type="dxa" w:w="1872"/>
          </w:tcPr>
          <w:p>
            <w:r>
              <w:t>Starwood Real Estate Income Trust, Inc.</w:t>
            </w:r>
          </w:p>
        </w:tc>
        <w:tc>
          <w:tcPr>
            <w:tcW w:type="dxa" w:w="1872"/>
          </w:tcPr>
          <w:p>
            <w:r>
              <w:t>JLL Income Property Trust, Inc.</w:t>
            </w:r>
          </w:p>
        </w:tc>
      </w:tr>
      <w:tr>
        <w:tc>
          <w:tcPr>
            <w:tcW w:type="dxa" w:w="1872"/>
          </w:tcPr>
          <w:p>
            <w:r>
              <w:t>2023</w:t>
            </w:r>
          </w:p>
        </w:tc>
        <w:tc>
          <w:tcPr>
            <w:tcW w:type="dxa" w:w="1872"/>
          </w:tcPr>
          <w:p>
            <w:r>
              <w:t>1</w:t>
            </w:r>
          </w:p>
        </w:tc>
        <w:tc>
          <w:tcPr>
            <w:tcW w:type="dxa" w:w="1872"/>
          </w:tcPr>
          <w:p>
            <w:r>
              <w:t>-0.5%</w:t>
            </w:r>
          </w:p>
        </w:tc>
        <w:tc>
          <w:tcPr>
            <w:tcW w:type="dxa" w:w="1872"/>
          </w:tcPr>
          <w:p>
            <w:r>
              <w:t>n/a</w:t>
            </w:r>
          </w:p>
        </w:tc>
        <w:tc>
          <w:tcPr>
            <w:tcW w:type="dxa" w:w="1872"/>
          </w:tcPr>
          <w:p>
            <w:r>
              <w:t>n/a</w:t>
            </w:r>
          </w:p>
        </w:tc>
      </w:tr>
      <w:tr>
        <w:tc>
          <w:tcPr>
            <w:tcW w:type="dxa" w:w="1872"/>
          </w:tcPr>
          <w:p>
            <w:r>
              <w:t>2024</w:t>
            </w:r>
          </w:p>
        </w:tc>
        <w:tc>
          <w:tcPr>
            <w:tcW w:type="dxa" w:w="1872"/>
          </w:tcPr>
          <w:p>
            <w:r>
              <w:t>1</w:t>
            </w:r>
          </w:p>
        </w:tc>
        <w:tc>
          <w:tcPr>
            <w:tcW w:type="dxa" w:w="1872"/>
          </w:tcPr>
          <w:p>
            <w:r>
              <w:t>2%</w:t>
            </w:r>
          </w:p>
        </w:tc>
        <w:tc>
          <w:tcPr>
            <w:tcW w:type="dxa" w:w="1872"/>
          </w:tcPr>
          <w:p>
            <w:r>
              <w:t>n/a</w:t>
            </w:r>
          </w:p>
        </w:tc>
        <w:tc>
          <w:tcPr>
            <w:tcW w:type="dxa" w:w="1872"/>
          </w:tcPr>
          <w:p>
            <w:r>
              <w:t>n/a</w:t>
            </w:r>
          </w:p>
        </w:tc>
      </w:tr>
      <w:tr>
        <w:tc>
          <w:tcPr>
            <w:tcW w:type="dxa" w:w="1872"/>
          </w:tcPr>
          <w:p>
            <w:r>
              <w:t>2025</w:t>
            </w:r>
          </w:p>
        </w:tc>
        <w:tc>
          <w:tcPr>
            <w:tcW w:type="dxa" w:w="1872"/>
          </w:tcPr>
          <w:p>
            <w:r>
              <w:t>2</w:t>
            </w:r>
          </w:p>
        </w:tc>
        <w:tc>
          <w:tcPr>
            <w:tcW w:type="dxa" w:w="1872"/>
          </w:tcPr>
          <w:p>
            <w:r>
              <w:t>8.1%</w:t>
            </w:r>
          </w:p>
        </w:tc>
        <w:tc>
          <w:tcPr>
            <w:tcW w:type="dxa" w:w="1872"/>
          </w:tcPr>
          <w:p>
            <w:r>
              <w:t>-2.4%</w:t>
            </w:r>
          </w:p>
        </w:tc>
        <w:tc>
          <w:tcPr>
            <w:tcW w:type="dxa" w:w="1872"/>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REIT investable proxy (VNQ)</w:t>
            </w:r>
          </w:p>
        </w:tc>
        <w:tc>
          <w:tcPr>
            <w:tcW w:type="dxa" w:w="1008"/>
          </w:tcPr>
          <w:p>
            <w:r>
              <w:t>8/12</w:t>
            </w:r>
          </w:p>
        </w:tc>
        <w:tc>
          <w:tcPr>
            <w:tcW w:type="dxa" w:w="5472"/>
          </w:tcPr>
          <w:p>
            <w:r>
              <w:t>ranked below the selected candidate: 8/12 vs 9/12 for NFI-ODCE Criteria: strategy_match 2/3: the public-market version of the asset class (listed REITs for core-plus non-traded real estate), risk_liquidity_match 1/3: daily-liquid market series against a semi-liquid NAV fund (monthly dealing at NAV under 2% cap per month and 5% cap per quarter, requests prorated in the filings on record): volatility and liquidity regimes differ, the PME construct exists for exactly this comparison, provider_independence 2/2: provider unaffiliated with the fund (Vanguard / MSCI US REIT):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NAV printed in the MD&amp;A NAV-by-class table but not yet carried into a typed cell. Verification-queue item</w:t>
            </w:r>
          </w:p>
        </w:tc>
        <w:tc>
          <w:tcPr>
            <w:tcW w:type="dxa" w:w="1152"/>
          </w:tcPr>
          <w:p>
            <w:r>
              <w:t>1.1</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typed in the record (aggregate NAV printed in the MD&amp;A NAV-by-class table but not yet carried into a typed cell. Verification-queue item), so the plan's dollar demand cannot be set against the fund's dollar capacity and the allocation slider is not shown.</w:t>
      </w:r>
    </w:p>
    <w:p>
      <w:r>
        <w:t>Scenario verdict (ILLUSTRATIVE, this plan): CONDITIONAL-WEAK.</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Peer cohort placement</w:t>
      </w:r>
    </w:p>
    <w:p>
      <w:r>
        <w:t>Evidence depth tier: FULL. Cohort: Non-traded NAV REITs (n=3). Membership rationale: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r>
        <w:t>Cohort composite return: not formed, members report on different year ends (breit: calendar years, sreit: calendar years, jll_ipt: no period returns),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CONDITIONAL-WEAK (typed facts, plan-independent). Scenario verdict under US media/technology company 401(k) plan (~$570M, New York) (ILLUSTRATIVE): CONDITIONAL-WEAK.</w:t>
      </w:r>
    </w:p>
    <w:p>
      <w:r>
        <w:t>Meaningful benchmark (paragraph (k)): NCREIF Fund Index - ODCE (private core RE) at 9/12, cited, series not in the record. Peer comparison (paragraphs (g) and (h)): composite refused, fewer than 3 peers remain after leaving Blackstone Real Estate Income Trust Inc out (2: Starwood Real Estate Income Trust, Inc., JLL Income Property Trust, Inc.).</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pPr>
        <w:pStyle w:val="ListBullet"/>
      </w:pPr>
      <w:r>
        <w:t>Liquidity: ILLUSTRATIVE scenario verdict conditional-weak under this plan (the filed outflow proxy or the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20, verified 0, computed 14, partial 8, fetched 1, n/a 12, pending 0. 43 of 43 resolvable, 0 verified, 12 n/a by wrapper.</w:t>
      </w:r>
    </w:p>
    <w:p>
      <w:r>
        <w:t>Of the 42 evidenced cells, 42 carry a source document, 42 a section, 28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(filed 2026-02-27) Item 5 'Offering of Common Stock' monthly NAV table; 10-Q Q2-2026 (filed 2026-08-07) NAV-by-class table</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1.2</w:t>
            </w:r>
          </w:p>
        </w:tc>
        <w:tc>
          <w:tcPr>
            <w:tcW w:type="dxa" w:w="3456"/>
          </w:tcPr>
          <w:p>
            <w:r>
              <w:t>Form 10-K FY2025 (filed 2026-02-27), Item 7 MD&amp;A - 2025 Highlights; Form 10-Q for quarter ended June 30, 2026 (filed 2026-08-07), MD&amp;A - Q2 2026 Highlights</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1.6</w:t>
            </w:r>
          </w:p>
        </w:tc>
        <w:tc>
          <w:tcPr>
            <w:tcW w:type="dxa" w:w="3456"/>
          </w:tcPr>
          <w:p>
            <w:r>
              <w:t>analytics supplement artifact (monthly NAV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(monthly NAV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1.12</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2.1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2.2</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2.6</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2.7</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3.3</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3.6</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4.4</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4.5</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4.6</w:t>
            </w:r>
          </w:p>
        </w:tc>
        <w:tc>
          <w:tcPr>
            <w:tcW w:type="dxa" w:w="3456"/>
          </w:tcPr>
          <w:p>
            <w:r>
              <w:t>Form 10-K for fiscal year ended December 31, 2025, filed 2026-02-27 (and Form 10-Q for quarter ended June 30, 2026, filed 2026-08-07)</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Form 10-K for fiscal year ended December 31, 2025, filed 2026-02-27 (searches for benchmark/NCREIF/MSCI/ODCE/FTSE Nareit run on stripped text 2026-08-09)</w:t>
            </w:r>
          </w:p>
        </w:tc>
        <w:tc>
          <w:tcPr>
            <w:tcW w:type="dxa" w:w="5184"/>
          </w:tcPr>
          <w:p>
            <w:r>
              <w:t>10-K 2026-02-27 accession 0001662972-26-000032 https://www.sec.gov/Archives/edgar/data/1662972/000166297226000032/breit-20251231.htm</w:t>
            </w:r>
          </w:p>
        </w:tc>
      </w:tr>
      <w:tr>
        <w:tc>
          <w:tcPr>
            <w:tcW w:type="dxa" w:w="720"/>
          </w:tcPr>
          <w:p>
            <w:r>
              <w:t>5.3</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5.6</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6.4</w:t>
            </w:r>
          </w:p>
        </w:tc>
        <w:tc>
          <w:tcPr>
            <w:tcW w:type="dxa" w:w="3456"/>
          </w:tcPr>
          <w:p>
            <w:r>
              <w:t>10-K 2026-02-27 (form not named in on-disk breit filings)</w:t>
            </w:r>
          </w:p>
        </w:tc>
        <w:tc>
          <w:tcPr>
            <w:tcW w:type="dxa" w:w="5184"/>
          </w:tcPr>
          <w:p>
            <w:r>
              <w:t>10-K 2026-02-27 accession 0001662972-26-000032 https://www.sec.gov/Archives/edgar/data/1662972/000166297226000032/breit-20251231.htm</w:t>
            </w:r>
          </w:p>
        </w:tc>
      </w:tr>
      <w:tr>
        <w:tc>
          <w:tcPr>
            <w:tcW w:type="dxa" w:w="720"/>
          </w:tcPr>
          <w:p>
            <w:r>
              <w:t>6.5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