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Hamilton Lane Private Assets Fund (tender-offer fund ('40 Act); NOT an interval fund, CIK 1803491)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1.96 vs PSP (reference, not the benchmark). 1.11 inception 2021-01-04, 5.2 years.</w:t>
            </w:r>
          </w:p>
          <w:p>
            <w:r>
              <w:t>1.1 Net total return series (partial): PARTIAL: Class I NAV/share FY2022-FY2026: 12.35 / 14.14 / 15.81 / 17.55 / 19.77 (fiscal yr end Mar 31).</w:t>
            </w:r>
          </w:p>
          <w:p>
            <w:r>
              <w:t>1.2 Trailing &amp; calendar-year returns (extracted-unverified): Class I avg annual total returns as of 3/31/2026: 1yr 14.60% / 3yr 13.28% / 5yr 15.31% / since inception 15.36%.</w:t>
            </w:r>
          </w:p>
          <w:p>
            <w:r>
              <w:t>1.3 Gross vs net spread (extracted-unverified): Class I gross vs net expense ratios (Consolidated Financial Highlights, FYE Mar 31): FY2026 gross 3.40% / net 3.40%; FY2025 2.93% / 2.93%; FY2024 4.26% / 4.26% - identical, zero spread ('Expense Recoupment/(Reimbursement)' row prints 0.00% all three years).</w:t>
            </w:r>
          </w:p>
          <w:p>
            <w:r>
              <w:t>1.4 Distribution history &amp; composition (extracted-unverified): FY2026 (year ended 3/31/2026) distributions to investors totaled $88,161,148 (Class I $52,227,996; Class R $34,331,024; Class D $1,602,128); prior-year total $42,458,537 (Consolidated Statements of Changes in Net Assets).</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Fund organized as a Delaware trust February 7, 2020; commenced operations January 4, 2021 following reorganization of predecessor Hamilton Lane Evergreen Private Fund LP (EPF, inception September 1, 2020) effective close of business December 31, 2020; Class D shares commenced August 1, 2021.</w:t>
            </w:r>
          </w:p>
          <w:p>
            <w:r>
              <w:t>1.12 Peer comparison (paragraphs (g) and (h)) (computed): Peer comparison (paragraphs (g) and (h)): evergreen private equity cohort, peers StepStone Private Markets, KKR Private Equity Conglomerate LLC, Ares Private Markets Fund, AMG Pantheon Fund, LLC, fund return basis filed fiscal-year returns.</w:t>
            </w:r>
          </w:p>
          <w:p>
            <w:r>
              <w:t>Not applicable: 1.5 underlying fund/GP-level returns are LP-only reporting; filings disclose holdings at fair value (see 3.4/SOI),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managed assets (leverage-inclusive). 2.2 incentive fee: 10%. 2.3 3.40% expense ratio, net, including the incentive fee, AFFE excluded (FY2026, Class I). 2.4 AFFE 0.49%. 2.7 early repurchase fee: 2% &lt; 1 year.</w:t>
            </w:r>
          </w:p>
          <w:p>
            <w:r>
              <w:t>2.1 Management fee (rate AND base) (extracted-unverified): 1.40% annualized on MANAGED ASSETS (not net assets - includes leverage), calculated monthly, paid quarterly.</w:t>
            </w:r>
          </w:p>
          <w:p>
            <w:r>
              <w:t>2.2 Incentive fee terms (extracted-unverified): CURRENT TERMS (Investment Management Agreement approved by shareholders March 14, 2025; FY2026 N-CSR): Incentive Fee = 10.00% of the excess of quarterly NET PROFITS over the then-balance of the Loss Recovery Account (memorandum account, initial balance zero, increased by quarterly net losses - a fund-level loss-carryforward/high-water mechanism; no preferred-return hurdle).</w:t>
            </w:r>
          </w:p>
          <w:p>
            <w:r>
              <w:t>2.3 Total expense ratio &amp; waivers (extracted-unverified): Class I gross/net expenses FY26 3.40%/3.40%, FY25 2.93/2.93, FY24 4.26/4.26.</w:t>
            </w:r>
          </w:p>
          <w:p>
            <w:r>
              <w:t>2.4 AFFE (extracted-unverified): 486BPOS (2021-dated) fee tables include an 'Acquired Fund Fees and Expenses' line of 0.49% for each class (columns Class R / Class I / Class D).</w:t>
            </w:r>
          </w:p>
          <w:p>
            <w:r>
              <w:t>2.5 Underlying GP economics (extracted-unverified): Printed ranges of underlying Portfolio Fund economics (486BPOS, 2021-dated; appears twice - fee-table footnote 8 and the fees risk discussion): asset-based fees payable to Portfolio Fund Managers generally range from 1% to 2.5% (annualized) of the COMMITMENT AMOUNT of the Fund's investment; performance/incentive fees or allocations typically 10% to 20% of a Portfolio Fund's net profits annually, 'although it is possible that such amounts may be exceeded for certain Portfolio Fund Managers.' Mitigant printed in footnote 8: historically 'a substantial majority of the direct investments made by the Adviser and its affiliates on behalf of their clients have been made without any acquired fees' (free of management and performance fees typically charged by Portfolio Fund Managers).</w:t>
            </w:r>
          </w:p>
          <w:p>
            <w:r>
              <w:t>2.6 Loads &amp; servicing fees (extracted-unverified): Sales load: Class R maximum sales load imposed on purchases 3.50% of offering price ('Investors in Class R Shares may be charged a sales charge of up to 3.50% of the subscription amount'); Class I and Class D: None (486BPOS, 2021-dated).</w:t>
            </w:r>
          </w:p>
          <w:p>
            <w:r>
              <w:t>2.7 Early repurchase fee (extracted-unverified): 2.00% early repurchase fee if held under 1 year (FIFO).</w:t>
            </w:r>
          </w:p>
          <w:p>
            <w:r>
              <w:t>2.9 Fee peer percentile (computed): Cohort placement (evergreen private equity cohort): mgmt fee: 50th percentile of cohort (n=5), at the median of 1.4 | expense ratio (bases differ, see notes): 70th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net assets. 3.4 $5.8B net assets. 3.9 structural verdict partial, plan-independent.</w:t>
            </w:r>
          </w:p>
          <w:p>
            <w:r>
              <w:t>3.1 Wrapper liquidity terms (extracted-unverified): Quarterly tender offers (board-approved, NOT Rule 23c-3 interval).</w:t>
            </w:r>
          </w:p>
          <w:p>
            <w:r>
              <w:t>3.2 Repurchase mechanics (extracted-unverified): Q2-2026 tender mechanics (SC TO-I filed 2026-05-06; Rule 13e-4 issuer tender offer, all three classes): SIZE up to ~5.00% of 3/31/2026 net assets (~$290,123,923, ~15,084,500 shares; NAV/share 3/31/26: Class D $19.27, I $19.53, R $18.78).</w:t>
            </w:r>
          </w:p>
          <w:p>
            <w:r>
              <w:t>3.3 Repurchase history (extracted-unverified): CONTINUITY: SC TO-I Item 5 states the Fund 'has previously offered to repurchase Shares ...</w:t>
            </w:r>
          </w:p>
          <w:p>
            <w:r>
              <w:t>3.4 Portfolio liquidity profile (extracted-unverified): As of March 31, 2026: total net assets $5,785,749,989.</w:t>
            </w:r>
          </w:p>
          <w:p>
            <w:r>
              <w:t>3.6 Fund leverage &amp; facilities (extracted-unverified): Line of credit payable $76,482,442 at FY26; total borrowings trend (000s) FY26 76,482 vs FY25 36,192.</w:t>
            </w:r>
          </w:p>
          <w:p>
            <w:r>
              <w:t>3.7 Plan participant liquidity demand (computed, this plan): Plan-side demand profile for this plan (Form 5500, plan year 2024-01-01 to 2024-12-31): 1,847 separated participants with balances = 36.1% of 5,120 accounts (the near-term liquidity tail), 3,281 active, 0 retirees in pay status, filed outflow proxy 11.69% of beginning net assets (Schedule H totals).</w:t>
            </w:r>
          </w:p>
          <w:p>
            <w:r>
              <w:t>3.8 Redemption stress test (computed, this plan): ILLUSTRATIVE redemption stress test for this plan: filed outflow proxy 11.69% of the position, slider assumption 10.4%, stressed demand 20.5% vs 20% annual wrapper capacity, EXCEEDS annual wrapper capacity (20.5% vs 20%). Unmet demand rolls into later windows (gating-equivalent outcome). Source: this plan's liquidity match.</w:t>
            </w:r>
          </w:p>
          <w:p>
            <w:r>
              <w:t>3.9 Product-to-plan liquidity match (computed, this plan): Structural liquidity verdict PARTIAL (typed facts, plan-independent). Scenario verdict under this plan (ILLUSTRATIVE): CONDITIONAL-WEAK. Source: this plan's liquidity match.</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Effective September 8, 2022, pursuant to Rule 2a-5, the Board designated the Adviser (Hamilton Lane Advisors, L.L.C.) as its valuation designee ('Valuation Designee') to perform fair value determinations, and approved new valuation procedures; Board retains oversight and the Valuation Designee develops the written valuation processes/procedures and conducts periodic reviews.</w:t>
            </w:r>
          </w:p>
          <w:p>
            <w:r>
              <w:t>4.2 Fair-value hierarchy (L1/2/3) (extracted-unverified): ASC 820 hierarchy at 3/31/2026: Level I $529,492,964 (all Short Term Investments); Level II $0 (fund held no Level II securities); Level III $562,354,022 (Direct Credit $79,199,618 + Direct Equity $455,391,311 + Secondary Direct Equity $27,763,093); Total Investments in hierarchy $1,091,846,986.</w:t>
            </w:r>
          </w:p>
          <w:p>
            <w:r>
              <w:t>4.3 Independent valuation agent (extracted-unverified): Independent valuation firms are used but NOT named: N-CSR states the Adviser 'utilizes independent valuation firms to provide third-party valuation consulting services for Direct Investments' (same sentence appears in 486BPOS 2021 SAI).</w:t>
            </w:r>
          </w:p>
          <w:p>
            <w:r>
              <w:t>4.4 Methodology by asset type (extracted-unverified): Note 4 quantitative unobservable-inputs table as of 3/31/2026 (Level III only, $562,354,022 total; the $5,037,585,848 valued at NAV practical expedient - i.e., the bulk of the portfolio - is EXCLUDED from this table and is carried at the Fund's pro-rata interest in underlying-fund-reported NAV): DIRECT CREDIT $79,199,618 - Income Approach / Yield to Maturity, range 9.2%-29.1%, wtd avg 13.40% (increase in input -&gt; Decrease in value); Recent Transaction (N/A range); Market Approach / EBITDA Multiple 7.5x-9.5x, wtd avg 7.5x (-&gt; Increase); Broker Quote (N/A).</w:t>
            </w:r>
          </w:p>
          <w:p>
            <w:r>
              <w:t>4.5 Auditor &amp; opinion (extracted-unverified): Cohen &amp; Company, Ltd., Cleveland OH.</w:t>
            </w:r>
          </w:p>
          <w:p>
            <w:r>
              <w:t>4.6 NAV restatement history (extracted-unverified): None identified: searched all six on-disk hl_paf documents (486BPOS 2021-07-29, 486BXT 2023-09-25, N-CSR 2026-06-09, SC TO-I 2026-05-06, 424B3 2026-05-08, NPORT-P 2026-05-29 XML) for 'restat', 'error correction', 'reprocess'; zero NAV-restatement or 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Cambridge PE benchmark selected, 9/12.</w:t>
            </w:r>
          </w:p>
          <w:p>
            <w:r>
              <w:t>5.1 Self-declared benchmark (extracted-unverified): Stated comparators in shareholder report: S&amp;P 500 Index and MSCI World Index (defined in Fund Performance footnotes).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6.4 Form 1099.</w:t>
            </w:r>
          </w:p>
          <w:p>
            <w:r>
              <w:t>6.1 Structure map (extracted-unverified): Legal form: Delaware statutory trust (organized February 7, 2020), registered non-diversified closed-end management investment company; RIC under Subchapter M (taxable year ends September 30; fiscal year ends March 31).</w:t>
            </w:r>
          </w:p>
          <w:p>
            <w:r>
              <w:t>6.2 Strategy &amp; instrument complexity (extracted-unverified): 80% policy (486BPOS, 2021-dated): under normal circumstances at least 80% of net assets (plus borrowings for investment purposes) in 'private assets' = Direct Investments (excluding listed PE), Portfolio Funds, Secondary Investments, Opportunistic Investments.</w:t>
            </w:r>
          </w:p>
          <w:p>
            <w:r>
              <w:t>6.3 Conflicts &amp; affiliated transactions (extracted-unverified): 486BPOS 'CONFLICTS OF INTEREST' section (2021) discloses under subheadings: Affiliates (adviser/affiliates may advise competing vehicles, no obligation to refer opportunities; shareholders deemed to waive conflict claims except where non-waivable; Codes of Ethics under Section 17(j)); Allocation of the Adviser's and its Affiliates' Time; Compensation Arrangements.</w:t>
            </w:r>
          </w:p>
          <w:p>
            <w:r>
              <w:t>6.4 Tax reporting (1099 vs K-1) (extracted-unverified): Form 1099-DIV (fund is a RIC): shareholders receive IRS Form 1099-DIV after each calendar year showing ordinary income / qualified dividend income / long-term capital gain character; cost basis reported on Form 1099 for covered shares.</w:t>
            </w:r>
          </w:p>
          <w:p>
            <w:r>
              <w:t>6.5 Service-provider web (extracted-unverified): Per FY2026 N-CSR (Note 11 and back-cover listing): Investment Adviser — Hamilton Lane Advisors, L.L.C., 110 Washington St, Ste. 1300, Conshohocken, PA; Custodian — UMB Bank, n.a., Kansas City, MO (affiliate of UMBFS); Fund Administrator, Transfer Agent and Fund Accountant — UMB Fund Services, Inc. ('UMBFS'), 235 W. Galena Street, Milwaukee, WI; Distributor — Distribution Services, LLC, 3 Canal Plaza, Suite 100, Portland, ME; Independent Registered Public Accounting Firm — Cohen &amp; Company, Ltd., Cleveland, OH (audit opinion signed COHEN &amp; COMPANY, LTD.).</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2021-03-31 to 2026-03-31: fund 15.31%/yr (filed fiscal-year returns) vs the public series 0.83%/yr, KS-PME 1.9565, Direct Alpha 14.37%/yr.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SEC-required comparator: S&amp;P 500 Index, held, scored 7/12, fails the strategy gate (strategy_match 1/3). The declaration itself earns no points.</w:t>
      </w:r>
    </w:p>
    <w:p>
      <w:r>
        <w:t>Window 2021-03-31 to 2026-03-31: fund 15.31%/yr (filed fiscal-year returns) vs S&amp;P 500 Index 11.93%/yr, KS-PME 1.1603, Direct Alpha 3.02%/yr.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SEC-required comparator: MSCI World Index, held, scored 7/12, fails the strategy gate (strategy_match 1/3). The declaration itself earns no points.</w:t>
      </w:r>
    </w:p>
    <w:p>
      <w:r>
        <w:t>Window 2021-03-31 to 2026-03-31: fund 15.31%/yr (filed fiscal-year returns) vs MSCI World Index 10.48%/yr, KS-PME 1.2386, Direct Alpha 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r>
        <w:t>Declared benchmark: none. cell 5.1: comparators stated in the shareholder report's performance presentation, no benchmark the fund is managed to.</w:t>
      </w:r>
    </w:p>
    <w:p>
      <w:pPr>
        <w:pStyle w:val="Heading2"/>
      </w:pPr>
      <w:r>
        <w:t>Peer comparison (paragraphs (g) and (h)): evergreen private equity cohort</w:t>
      </w:r>
    </w:p>
    <w:p>
      <w:r>
        <w:t>Peers: StepStone Private Markets, KKR Private Equity Conglomerate LLC, Ares Private Markets Fund, AMG Pantheon Fund, LLC. This is the history of similar investments, not the benchmark, and it is never a public market equivalent.</w:t>
      </w:r>
    </w:p>
    <w:p>
      <w:r>
        <w:t>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Hamilton Lane Private Assets Fund</w:t>
            </w:r>
          </w:p>
        </w:tc>
        <w:tc>
          <w:tcPr>
            <w:tcW w:type="dxa" w:w="1337"/>
          </w:tcPr>
          <w:p>
            <w:r>
              <w:t>StepStone Private Markets</w:t>
            </w:r>
          </w:p>
        </w:tc>
        <w:tc>
          <w:tcPr>
            <w:tcW w:type="dxa" w:w="1337"/>
          </w:tcPr>
          <w:p>
            <w:r>
              <w:t>KKR Private Equity Conglomerate LLC</w:t>
            </w:r>
          </w:p>
        </w:tc>
        <w:tc>
          <w:tcPr>
            <w:tcW w:type="dxa" w:w="1337"/>
          </w:tcPr>
          <w:p>
            <w:r>
              <w:t>Ares Private Markets Fund</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20.77%</w:t>
            </w:r>
          </w:p>
        </w:tc>
        <w:tc>
          <w:tcPr>
            <w:tcW w:type="dxa" w:w="1337"/>
          </w:tcPr>
          <w:p>
            <w:r>
              <w:t>29.43%</w:t>
            </w:r>
          </w:p>
        </w:tc>
        <w:tc>
          <w:tcPr>
            <w:tcW w:type="dxa" w:w="1337"/>
          </w:tcPr>
          <w:p>
            <w:r>
              <w:t>n/a</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16.1%</w:t>
            </w:r>
          </w:p>
        </w:tc>
        <w:tc>
          <w:tcPr>
            <w:tcW w:type="dxa" w:w="1337"/>
          </w:tcPr>
          <w:p>
            <w:r>
              <w:t>8.23%</w:t>
            </w:r>
          </w:p>
        </w:tc>
        <w:tc>
          <w:tcPr>
            <w:tcW w:type="dxa" w:w="1337"/>
          </w:tcPr>
          <w:p>
            <w:r>
              <w:t>n/a</w:t>
            </w:r>
          </w:p>
        </w:tc>
        <w:tc>
          <w:tcPr>
            <w:tcW w:type="dxa" w:w="1337"/>
          </w:tcPr>
          <w:p>
            <w:r>
              <w:t>9.27%</w:t>
            </w:r>
          </w:p>
        </w:tc>
        <w:tc>
          <w:tcPr>
            <w:tcW w:type="dxa" w:w="1337"/>
          </w:tcPr>
          <w:p>
            <w:r>
              <w:t>6.45%</w:t>
            </w:r>
          </w:p>
        </w:tc>
      </w:tr>
      <w:tr>
        <w:tc>
          <w:tcPr>
            <w:tcW w:type="dxa" w:w="1337"/>
          </w:tcPr>
          <w:p>
            <w:r>
              <w:t>FY2024 (year to 2024-03-31)</w:t>
            </w:r>
          </w:p>
        </w:tc>
        <w:tc>
          <w:tcPr>
            <w:tcW w:type="dxa" w:w="1337"/>
          </w:tcPr>
          <w:p>
            <w:r>
              <w:t>4</w:t>
            </w:r>
          </w:p>
        </w:tc>
        <w:tc>
          <w:tcPr>
            <w:tcW w:type="dxa" w:w="1337"/>
          </w:tcPr>
          <w:p>
            <w:r>
              <w:t>12.68%</w:t>
            </w:r>
          </w:p>
        </w:tc>
        <w:tc>
          <w:tcPr>
            <w:tcW w:type="dxa" w:w="1337"/>
          </w:tcPr>
          <w:p>
            <w:r>
              <w:t>13.79%</w:t>
            </w:r>
          </w:p>
        </w:tc>
        <w:tc>
          <w:tcPr>
            <w:tcW w:type="dxa" w:w="1337"/>
          </w:tcPr>
          <w:p>
            <w:r>
              <w:t>n/a</w:t>
            </w:r>
          </w:p>
        </w:tc>
        <w:tc>
          <w:tcPr>
            <w:tcW w:type="dxa" w:w="1337"/>
          </w:tcPr>
          <w:p>
            <w:r>
              <w:t>17.1%</w:t>
            </w:r>
          </w:p>
        </w:tc>
        <w:tc>
          <w:tcPr>
            <w:tcW w:type="dxa" w:w="1337"/>
          </w:tcPr>
          <w:p>
            <w:r>
              <w:t>12.08%</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11.82%</w:t>
            </w:r>
          </w:p>
        </w:tc>
        <w:tc>
          <w:tcPr>
            <w:tcW w:type="dxa" w:w="1337"/>
          </w:tcPr>
          <w:p>
            <w:r>
              <w:t>n/a</w:t>
            </w:r>
          </w:p>
        </w:tc>
        <w:tc>
          <w:tcPr>
            <w:tcW w:type="dxa" w:w="1337"/>
          </w:tcPr>
          <w:p>
            <w:r>
              <w:t>n/a</w:t>
            </w:r>
          </w:p>
        </w:tc>
      </w:tr>
      <w:tr>
        <w:tc>
          <w:tcPr>
            <w:tcW w:type="dxa" w:w="1337"/>
          </w:tcPr>
          <w:p>
            <w:r>
              <w:t>FY2025 (year to 2025-03-31)</w:t>
            </w:r>
          </w:p>
        </w:tc>
        <w:tc>
          <w:tcPr>
            <w:tcW w:type="dxa" w:w="1337"/>
          </w:tcPr>
          <w:p>
            <w:r>
              <w:t>4</w:t>
            </w:r>
          </w:p>
        </w:tc>
        <w:tc>
          <w:tcPr>
            <w:tcW w:type="dxa" w:w="1337"/>
          </w:tcPr>
          <w:p>
            <w:r>
              <w:t>12.59%</w:t>
            </w:r>
          </w:p>
        </w:tc>
        <w:tc>
          <w:tcPr>
            <w:tcW w:type="dxa" w:w="1337"/>
          </w:tcPr>
          <w:p>
            <w:r>
              <w:t>10.76%</w:t>
            </w:r>
          </w:p>
        </w:tc>
        <w:tc>
          <w:tcPr>
            <w:tcW w:type="dxa" w:w="1337"/>
          </w:tcPr>
          <w:p>
            <w:r>
              <w:t>n/a</w:t>
            </w:r>
          </w:p>
        </w:tc>
        <w:tc>
          <w:tcPr>
            <w:tcW w:type="dxa" w:w="1337"/>
          </w:tcPr>
          <w:p>
            <w:r>
              <w:t>19.95%</w:t>
            </w:r>
          </w:p>
        </w:tc>
        <w:tc>
          <w:tcPr>
            <w:tcW w:type="dxa" w:w="1337"/>
          </w:tcPr>
          <w:p>
            <w:r>
              <w:t>10.07%</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16.14%</w:t>
            </w:r>
          </w:p>
        </w:tc>
        <w:tc>
          <w:tcPr>
            <w:tcW w:type="dxa" w:w="1337"/>
          </w:tcPr>
          <w:p>
            <w:r>
              <w:t>n/a</w:t>
            </w:r>
          </w:p>
        </w:tc>
        <w:tc>
          <w:tcPr>
            <w:tcW w:type="dxa" w:w="1337"/>
          </w:tcPr>
          <w:p>
            <w:r>
              <w:t>n/a</w:t>
            </w:r>
          </w:p>
        </w:tc>
      </w:tr>
      <w:tr>
        <w:tc>
          <w:tcPr>
            <w:tcW w:type="dxa" w:w="1337"/>
          </w:tcPr>
          <w:p>
            <w:r>
              <w:t>FY2026 (year to 2026-03-31)</w:t>
            </w:r>
          </w:p>
        </w:tc>
        <w:tc>
          <w:tcPr>
            <w:tcW w:type="dxa" w:w="1337"/>
          </w:tcPr>
          <w:p>
            <w:r>
              <w:t>4</w:t>
            </w:r>
          </w:p>
        </w:tc>
        <w:tc>
          <w:tcPr>
            <w:tcW w:type="dxa" w:w="1337"/>
          </w:tcPr>
          <w:p>
            <w:r>
              <w:t>14.6%</w:t>
            </w:r>
          </w:p>
        </w:tc>
        <w:tc>
          <w:tcPr>
            <w:tcW w:type="dxa" w:w="1337"/>
          </w:tcPr>
          <w:p>
            <w:r>
              <w:t>10.47%</w:t>
            </w:r>
          </w:p>
        </w:tc>
        <w:tc>
          <w:tcPr>
            <w:tcW w:type="dxa" w:w="1337"/>
          </w:tcPr>
          <w:p>
            <w:r>
              <w:t>n/a</w:t>
            </w:r>
          </w:p>
        </w:tc>
        <w:tc>
          <w:tcPr>
            <w:tcW w:type="dxa" w:w="1337"/>
          </w:tcPr>
          <w:p>
            <w:r>
              <w:t>9.58%</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S&amp;P 500 investable proxy (SPY)</w:t>
            </w:r>
          </w:p>
        </w:tc>
        <w:tc>
          <w:tcPr>
            <w:tcW w:type="dxa" w:w="1008"/>
          </w:tcPr>
          <w:p>
            <w:r>
              <w:t>7/12</w:t>
            </w:r>
          </w:p>
        </w:tc>
        <w:tc>
          <w:tcPr>
            <w:tcW w:type="dxa" w:w="5472"/>
          </w:tcPr>
          <w:p>
            <w:r>
              <w:t>rejected: strategy gate (score 7/12 but strategy_match 1/3) Criteria: strategy_match 1/3: adjacent asset class sharing the dominant risk (US large cap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(SPDR / S&amp;P DJI):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net assets. Direct DIA use requires a bridging structure: CIT sleeve, managed account, or TDF sleeve (cell 3.5).</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net assets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$5.8B</w:t>
            </w:r>
          </w:p>
        </w:tc>
        <w:tc>
          <w:tcPr>
            <w:tcW w:type="dxa" w:w="1152"/>
          </w:tcPr>
          <w:p>
            <w:r>
              <w:t>3.4</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$1.2B per year (20% of $5.8B net assets, cell 3.4). The plan's demand at the filed rate is $3.3M per year, 0.29% of that capacity, a claim shared with every other holder.</w:t>
      </w:r>
    </w:p>
    <w:p>
      <w:r>
        <w:t>Scenario verdict (ILLUSTRATIVE, this plan): CONDITIONAL-WEAK.</w:t>
      </w:r>
    </w:p>
    <w:p>
      <w:pPr>
        <w:pStyle w:val="ListBullet"/>
      </w:pPr>
      <w:r>
        <w:t>Capacity: 5% per quarter on net assets: at most 20% of the position per year.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Fund capacity in dollars: 20% of $5.8B net assets (cell 3.4) is $1.2B per year. At a 5% allocation ($28.3M) the plan's demand at the filed rate is $3.3M per year, 0.29%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3.4, cell 3.7, plan: plan_tech_media.json (Form 5500, plan year 2024-01-01 to 2024-12-31).</w:t>
      </w:r>
    </w:p>
    <w:p>
      <w:pPr>
        <w:pStyle w:val="Heading1"/>
      </w:pPr>
      <w:r>
        <w:t>Peer cohort placement</w:t>
      </w:r>
    </w:p>
    <w:p>
      <w:r>
        <w:t>Evidence depth tier: FULL. Cohort: Evergreen private equity ('40-Act funds + '34-Act conglomerate) (n=5). Membership rationale: Evergreen PE fund-of-funds/secondaries in a tender-offer wrapper - founding cohort member.</w:t>
      </w:r>
    </w:p>
    <w:p>
      <w:r>
        <w:t>Cohort placement (evergreen private equity cohort): mgmt fee: 50th percentile of cohort (n=5), at the median of 1.4 | expense ratio (bases differ, see notes): 70th percentile of cohort (n=5), above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media/technology company 401(k) plan (~$570M, New York) (ILLUSTRATIVE): CONDITIONAL-WEAK.</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(StepStone Private Markets fiscal years to month 03, KKR Private Equity Conglomerate LLC calendar years, Ares Private Markets Fund fiscal years to month 03, AMG Pantheon Fund, LLC fiscal years to month 03, Hamilton Lane Private Assets Fund fiscal years to month 03). A composite needs identical start and end dates for every member (cell 1.12)</w:t>
      </w:r>
    </w:p>
    <w:p>
      <w:pPr>
        <w:pStyle w:val="ListBullet"/>
      </w:pPr>
      <w:r>
        <w:t>Liquidity: structural verdict partial, facts missing: gate_history (cells 3.1, 3.3)</w:t>
      </w:r>
    </w:p>
    <w:p>
      <w:pPr>
        <w:pStyle w:val="ListBullet"/>
      </w:pPr>
      <w:r>
        <w:t>Liquidity: ILLUSTRATIVE scenario verdict conditional-weak under this plan (the filed outflow proxy or the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11, partial 2,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1.3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1.8</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(FY2026 annual report), filed 2026-06-09; adviser founding/AUM per 486BPOS base prospectus+SAI,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1.12</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2.1</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2.2</w:t>
            </w:r>
          </w:p>
        </w:tc>
        <w:tc>
          <w:tcPr>
            <w:tcW w:type="dxa" w:w="3456"/>
          </w:tcPr>
          <w:p>
            <w:r>
              <w:t>N-CSR 2026-06-09 (FY2026 annual report), incentive-fee discussion; 486BPOS 2021-07-29 for the superseded terms</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2.3</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2.4</w:t>
            </w:r>
          </w:p>
        </w:tc>
        <w:tc>
          <w:tcPr>
            <w:tcW w:type="dxa" w:w="3456"/>
          </w:tcPr>
          <w:p>
            <w:r>
              <w:t>486BPOS base prospectus+SAI, 2021-07-29 (2021-dated figures)</w:t>
            </w:r>
          </w:p>
        </w:tc>
        <w:tc>
          <w:tcPr>
            <w:tcW w:type="dxa" w:w="5184"/>
          </w:tcPr>
          <w:p>
            <w:r>
              <w:t>486BPOS 2021-07-29 accession 0001398344-21-015077 https://www.sec.gov/Archives/edgar/data/1803491/000139834421015077/fp0067291_486bpos.htm</w:t>
            </w:r>
          </w:p>
        </w:tc>
      </w:tr>
      <w:tr>
        <w:tc>
          <w:tcPr>
            <w:tcW w:type="dxa" w:w="720"/>
          </w:tcPr>
          <w:p>
            <w:r>
              <w:t>2.5</w:t>
            </w:r>
          </w:p>
        </w:tc>
        <w:tc>
          <w:tcPr>
            <w:tcW w:type="dxa" w:w="3456"/>
          </w:tcPr>
          <w:p>
            <w:r>
              <w:t>486BPOS base prospectus+SAI, 2021-07-29 (2021-dated)</w:t>
            </w:r>
          </w:p>
        </w:tc>
        <w:tc>
          <w:tcPr>
            <w:tcW w:type="dxa" w:w="5184"/>
          </w:tcPr>
          <w:p>
            <w:r>
              <w:t>486BPOS 2021-07-29 accession 0001398344-21-015077 https://www.sec.gov/Archives/edgar/data/1803491/000139834421015077/fp0067291_486bpos.htm</w:t>
            </w:r>
          </w:p>
        </w:tc>
      </w:tr>
      <w:tr>
        <w:tc>
          <w:tcPr>
            <w:tcW w:type="dxa" w:w="720"/>
          </w:tcPr>
          <w:p>
            <w:r>
              <w:t>2.6</w:t>
            </w:r>
          </w:p>
        </w:tc>
        <w:tc>
          <w:tcPr>
            <w:tcW w:type="dxa" w:w="3456"/>
          </w:tcPr>
          <w:p>
            <w:r>
              <w:t>486BPOS base prospectus+SAI, 2021-07-29 (loads); FY2026 rates and dollar amounts confirmed in N-CSR filed 2026-06-09, Note 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2.7</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SC TO-I 2026-05-06</w:t>
            </w:r>
          </w:p>
        </w:tc>
        <w:tc>
          <w:tcPr>
            <w:tcW w:type="dxa" w:w="5184"/>
          </w:tcPr>
          <w:p>
            <w:r>
              <w:t>SC TO-I 2026-05-06 accession 0001213900-26-052657 https://www.sec.gov/Archives/edgar/data/1803491/000121390026052657/ea0288793-01_sctoi.htm</w:t>
            </w:r>
          </w:p>
        </w:tc>
      </w:tr>
      <w:tr>
        <w:tc>
          <w:tcPr>
            <w:tcW w:type="dxa" w:w="720"/>
          </w:tcPr>
          <w:p>
            <w:r>
              <w:t>3.2</w:t>
            </w:r>
          </w:p>
        </w:tc>
        <w:tc>
          <w:tcPr>
            <w:tcW w:type="dxa" w:w="3456"/>
          </w:tcPr>
          <w:p>
            <w:r>
              <w:t>SC TO-I filed 2026-05-06; cadence per N-CSR filed 2026-06-09, Note 13</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3.3</w:t>
            </w:r>
          </w:p>
        </w:tc>
        <w:tc>
          <w:tcPr>
            <w:tcW w:type="dxa" w:w="3456"/>
          </w:tcPr>
          <w:p>
            <w:r>
              <w:t>SC TO-I filed 2026-05-06, Item 5; N-CSR filed 2026-06-09 - Consolidated Statements of Changes in Net Assets, Shareholder Activity, Note 20</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3.6</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(Hamilton Lane Private Assets Fund, four reference plans)</w:t>
            </w:r>
          </w:p>
        </w:tc>
        <w:tc>
          <w:tcPr>
            <w:tcW w:type="dxa" w:w="5184"/>
          </w:tcPr>
          <w:p>
            <w:r>
              <w:t>accession not on record: no filing reference in the source field</w:t>
            </w:r>
          </w:p>
        </w:tc>
      </w:tr>
      <w:tr>
        <w:tc>
          <w:tcPr>
            <w:tcW w:type="dxa" w:w="720"/>
          </w:tcPr>
          <w:p>
            <w:r>
              <w:t>4.1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4.2</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4.5</w:t>
            </w:r>
          </w:p>
        </w:tc>
        <w:tc>
          <w:tcPr>
            <w:tcW w:type="dxa" w:w="3456"/>
          </w:tcPr>
          <w:p>
            <w:r>
              <w:t>N-CSR 2026-06-09 (acc 0001213900-26-066804)</w:t>
            </w:r>
          </w:p>
        </w:tc>
        <w:tc>
          <w:tcPr>
            <w:tcW w:type="dxa" w:w="5184"/>
          </w:tcPr>
          <w:p>
            <w:r>
              <w:t>N-CSR 2026-06-09 accession 0001213900-26-066804 https://www.sec.gov/Archives/edgar/data/1803491/000121390026066804/ea0291054-01_ncsr.htm</w:t>
            </w:r>
          </w:p>
        </w:tc>
      </w:tr>
      <w:tr>
        <w:tc>
          <w:tcPr>
            <w:tcW w:type="dxa" w:w="720"/>
          </w:tcPr>
          <w:p>
            <w:r>
              <w:t>4.6</w:t>
            </w:r>
          </w:p>
        </w:tc>
        <w:tc>
          <w:tcPr>
            <w:tcW w:type="dxa" w:w="3456"/>
          </w:tcPr>
          <w:p>
            <w:r>
              <w:t>N-CSR (FY2026 annual report), filed 2026-06-09 (absence search across all on-disk hl_paf filings)</w:t>
            </w:r>
          </w:p>
        </w:tc>
        <w:tc>
          <w:tcPr>
            <w:tcW w:type="dxa" w:w="5184"/>
          </w:tcPr>
          <w:p>
            <w:r>
              <w:t>N-CSR 2026-06-09 accession 0001213900-26-066804 https://www.sec.gov/Archives/edgar/data/1803491/000121390026066804/ea0291054-01_ncsr.htm</w:t>
            </w:r>
          </w:p>
        </w:tc>
      </w:tr>
      <w:tr>
        <w:tc>
          <w:tcPr>
            <w:tcW w:type="dxa" w:w="720"/>
          </w:tcPr>
          <w:p>
            <w:r>
              <w:t>5.1</w:t>
            </w:r>
          </w:p>
        </w:tc>
        <w:tc>
          <w:tcPr>
            <w:tcW w:type="dxa" w:w="3456"/>
          </w:tcPr>
          <w:p>
            <w:r>
              <w:t>N-CSR 2026-06-09 (FY ended 3/31/2026)</w:t>
            </w:r>
          </w:p>
        </w:tc>
        <w:tc>
          <w:tcPr>
            <w:tcW w:type="dxa" w:w="5184"/>
          </w:tcPr>
          <w:p>
            <w:r>
              <w:t>N-CSR 2026-06-09 accession 0001213900-26-066804 https://www.sec.gov/Archives/edgar/data/1803491/000121390026066804/ea0291054-01_ncsr.htm</w:t>
            </w:r>
          </w:p>
        </w:tc>
      </w:tr>
      <w:tr>
        <w:tc>
          <w:tcPr>
            <w:tcW w:type="dxa" w:w="720"/>
          </w:tcPr>
          <w:p>
            <w:r>
              <w:t>5.3</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(Hamilton Lane Private Assets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6.2</w:t>
            </w:r>
          </w:p>
        </w:tc>
        <w:tc>
          <w:tcPr>
            <w:tcW w:type="dxa" w:w="3456"/>
          </w:tcPr>
          <w:p>
            <w:r>
              <w:t>486BPOS base prospectus+SAI, 2021-07-29 (policy/instruments, 2021-dated); composition and derivatives usage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6.3</w:t>
            </w:r>
          </w:p>
        </w:tc>
        <w:tc>
          <w:tcPr>
            <w:tcW w:type="dxa" w:w="3456"/>
          </w:tcPr>
          <w:p>
            <w:r>
              <w:t>486BPOS base prospectus+SAI, 2021-07-29 (conflicts section, exemptive order); dollar amounts and current fee terms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6.4</w:t>
            </w:r>
          </w:p>
        </w:tc>
        <w:tc>
          <w:tcPr>
            <w:tcW w:type="dxa" w:w="3456"/>
          </w:tcPr>
          <w:p>
            <w:r>
              <w:t>486BPOS 2021-07-29 (base prospectus)</w:t>
            </w:r>
          </w:p>
        </w:tc>
        <w:tc>
          <w:tcPr>
            <w:tcW w:type="dxa" w:w="5184"/>
          </w:tcPr>
          <w:p>
            <w:r>
              <w:t>486BPOS 2021-07-29 accession 0001398344-21-015077 https://www.sec.gov/Archives/edgar/data/1803491/000139834421015077/fp0067291_486bpos.htm</w:t>
            </w:r>
          </w:p>
        </w:tc>
      </w:tr>
      <w:tr>
        <w:tc>
          <w:tcPr>
            <w:tcW w:type="dxa" w:w="720"/>
          </w:tcPr>
          <w:p>
            <w:r>
              <w:t>6.5</w:t>
            </w:r>
          </w:p>
        </w:tc>
        <w:tc>
          <w:tcPr>
            <w:tcW w:type="dxa" w:w="3456"/>
          </w:tcPr>
          <w:p>
            <w:r>
              <w:t>N-CSR (FY2026 annual report), filed 2026-06-09; counsel per 486BPOS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bl>
    <w:p>
      <w:r>
        <w:t>Data sources: SEC EDGAR filings (6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