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JLL Income Property Trust, Inc. (non-traded REIT ('34 Act reporting, perpetual NAV REIT), CIK 1314152)</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2012-10-01, 13.2 years.</w:t>
            </w:r>
          </w:p>
          <w:p>
            <w:r>
              <w:t>1.1 Net total return series (partial): PARTIAL: no printed multi-year per-class return series exists in the FY2025 10-K.</w:t>
            </w:r>
          </w:p>
          <w:p>
            <w:r>
              <w:t>1.2 Trailing &amp; calendar-year returns (partial): PARTIAL: primary class Class M-I (the performance-graph class, no servicing fee); basis: NAV-based net total return 'post leverage and fees', distributions included.</w:t>
            </w:r>
          </w:p>
          <w:p>
            <w:r>
              <w:t>1.3 Gross vs net spread (partial): PARTIAL: no gross-of-fees return series is printed; every printed return is net (performance graph caption: Class M-I 'post leverage and fees'; MD&amp;A returns 'less share class-specific fees').</w:t>
            </w:r>
          </w:p>
          <w:p>
            <w:r>
              <w:t>1.4 Distribution history &amp; composition (extracted-unverified): FY2025 gross dividends declared and paid $0.63/share ($0.1575/quarter); FY2024 declared $0.6175; FY2023 $0.58.</w:t>
            </w:r>
          </w:p>
          <w:p>
            <w:r>
              <w:t>1.5 Underlying sleeve/GP performance (partial): PARTIAL: direct-property REIT - no underlying GP funds, so no underlying-fund IRR table exists.</w:t>
            </w:r>
          </w:p>
          <w:p>
            <w:r>
              <w:t>1.11 Track record &amp; manager tenure (extracted-unverified): Incorporated 2004-05-28 (Maryland); REIT-taxed since taxable year 2004 ('since our inception in 2004'); initial public offering commenced 2012-10-01 with continuous public offerings since - the OLDEST daily-NAV REIT in this cohort (daily-NAV strategy 'we began in 2012'; vs BREIT 2017 / SREIT 2018 vintages).</w:t>
            </w:r>
          </w:p>
          <w:p>
            <w:r>
              <w:t>1.12 Peer comparison (paragraphs (g) and (h)) (computed): Peer comparison (paragraphs (g) and (h)): non-traded real estate cohort, peers Blackstone Real Estate Income Trust Inc, Starwood Real Estate Income Trust, Inc., fund return basis no computable return series on record: no multi-year per-class return series is printed: the FY2025 10-K gives net total return only as a 3.0% to 3.8% range across classes and an 8-quarter NAV path without distributions (cells 1.1 and 1.2).</w:t>
            </w:r>
          </w:p>
          <w:p>
            <w:r>
              <w:t>Not applicable: 1.6 sub-annual return series not free-public for this wrapper. 1.7 sub-annual return series not free-public for this wrapper. 1.8 annual returns printed only as per-class ranges; no point series to benchmark. 1.9 no multi-year point return series printed. 1.10 not exchange-listed.</w:t>
            </w:r>
          </w:p>
        </w:tc>
      </w:tr>
      <w:tr>
        <w:tc>
          <w:tcPr>
            <w:tcW w:type="dxa" w:w="1728"/>
          </w:tcPr>
          <w:p>
            <w:r>
              <w:t>2. Fees (h)</w:t>
            </w:r>
          </w:p>
        </w:tc>
        <w:tc>
          <w:tcPr>
            <w:tcW w:type="dxa" w:w="7632"/>
          </w:tcPr>
          <w:p>
            <w:r>
              <w:t>Typed facts: 2.1 1.25% on NAV. 2.2 incentive fee: 10% / 7% hurdle. 2.4 no AFFE line. 2.7 early repurchase fee: none.</w:t>
            </w:r>
          </w:p>
          <w:p>
            <w:r>
              <w:t>2.1 Management fee (rate AND base) (extracted-unverified): RATE: 1.25% per annum, fixed.</w:t>
            </w:r>
          </w:p>
          <w:p>
            <w:r>
              <w:t>2.2 Incentive fee terms (extracted-unverified): Incentive terms EXIST: performance fee = 10% of the total return of each share class (or OP Unit class) in excess of 7% per annum, calculated separately per class per calendar year.</w:t>
            </w:r>
          </w:p>
          <w:p>
            <w:r>
              <w:t>2.3 Total expense ratio &amp; waivers (extracted-unverified): None exists structurally: '34 Act 10-K REIT wrapper - no 1940-Act fee table and no financial-highlights expense-ratio line ('expense ratio' = zero hits across stripped 10-K/10-Q/424B3, searched 2026-08-15).</w:t>
            </w:r>
          </w:p>
          <w:p>
            <w:r>
              <w:t>2.4 AFFE (extracted-unverified): Not applicable - none exists: JLL IPT is a 10-K filer (non-'40-Act REIT) with no 1940-Act fee table; no 'Acquired Fund Fees and Expenses' line exists or can ('acquired fund' = zero hits in stripped 10-K, 10-Q and 424B3, searched 2026-08-15).</w:t>
            </w:r>
          </w:p>
          <w:p>
            <w:r>
              <w:t>2.6 Loads &amp; servicing fees (extracted-unverified): Per-class loads/servicing (10-K Note 7, effective 2025-10-07, % of NAV): Class A up to 3.0% selling commission + 0.85%/yr stockholder servicing; Class M none + 0.30%; Class A-I up to 1.5% + 0.30%; Class M-I none + NONE; Class D up to 1.5% + 0.30%; Class I none + NONE; Class N up to 1.0% + NONE; Class S up to 3.0% + 0.85%; Class Z none + 0.30% (D/I/N/S/Z offered only privately).</w:t>
            </w:r>
          </w:p>
          <w:p>
            <w:r>
              <w:t>2.7 Early repurchase fee (extracted-unverified): No early-repurchase FEE exists ('early repurchase'/'repurchase deduction' = zero hits in stripped 10-K and 10-Q, searched 2026-08-15; contrast BREIT/SREIT 2% Early Repurchase Deduction).</w:t>
            </w:r>
          </w:p>
          <w:p>
            <w:r>
              <w:t>2.9 Fee peer percentile (computed): Cohort placement (non-traded real estate cohort): mgmt fee: at the cohort median of 1.25 (n=3, too small for percentile language) | expense ratio (bases differ, see notes): fact unavailable for this member | repurchase cap: above the cohort median of 2 (n=3, too small for percentile language).</w:t>
            </w:r>
          </w:p>
          <w:p>
            <w:r>
              <w:t>Not applicable: 2.5 no underlying GP fund layer; JV promote/fee economics are private JV-agreement terms with no rates printed in the filings.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daily dealing, 5% cap per quarter on NAV. 3.3 no gating identified in the filings on record. 3.9 structural verdict conditional, plan-independent.</w:t>
            </w:r>
          </w:p>
          <w:p>
            <w:r>
              <w:t>3.1 Wrapper liquidity terms (extracted-unverified): CADENCE: DAILY - stockholders may request repurchase of all or part of their shares any day at that day's NAV per share (plan first announced 2011; contrast monthly/quarterly windows at BREIT/SREIT).</w:t>
            </w:r>
          </w:p>
          <w:p>
            <w:r>
              <w:t>3.2 Repurchase mechanics (extracted-unverified): Price = NAV per share of the class on the DATE OF REPURCHASE (not purchase price, not prior-month NAV).</w:t>
            </w:r>
          </w:p>
          <w:p>
            <w:r>
              <w:t>3.3 Repurchase history (extracted-unverified): UNBROKEN fulfillment record as disclosed: never deferred nor rejected a repurchase request through 2025-12-31 (10-K), and 100% honored in every later printed period (10-Q).</w:t>
            </w:r>
          </w:p>
          <w:p>
            <w:r>
              <w:t>3.4 Portfolio liquidity profile (extracted-unverified): Underlying assets are illiquid direct real estate: 'The vast majority of our assets consist of properties that cannot generally be liquidated quickly.' Liquid resources printed: 2025-12-31 &gt;$103,000K total cash on hand + $515,000K Credit Facility capacity; 2026-06-30 &gt;$90,000K cash + $600,000K capacity.</w:t>
            </w:r>
          </w:p>
          <w:p>
            <w:r>
              <w:t>3.6 Fund leverage &amp; facilities (extracted-unverified): Target company leverage ratio 30-50% (share of total liabilities excl. future stockholder servicing/dealer manager fees over share of fair value of total assets); ACTUAL 32% at 2025-12-31 and 34% at 2024-12-31 - low vs cohort.</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CONDITIONAL (typed facts, plan-independent). Scenario verdict under this plan (ILLUSTRATIVE): CONDITIONAL-WEAK. Source: this plan's liquidity match.</w:t>
            </w:r>
          </w:p>
          <w:p>
            <w:r>
              <w:t>Not applicable: 3.5 CIT only.</w:t>
            </w:r>
          </w:p>
        </w:tc>
      </w:tr>
      <w:tr>
        <w:tc>
          <w:tcPr>
            <w:tcW w:type="dxa" w:w="1728"/>
          </w:tcPr>
          <w:p>
            <w:r>
              <w:t>4. Valuation (j)</w:t>
            </w:r>
          </w:p>
        </w:tc>
        <w:tc>
          <w:tcPr>
            <w:tcW w:type="dxa" w:w="7632"/>
          </w:tcPr>
          <w:p>
            <w:r>
              <w:t>Typed facts: 4.5 KPMG LLP (Big 4).</w:t>
            </w:r>
          </w:p>
          <w:p>
            <w:r>
              <w:t>4.1 Valuation policy &amp; NAV frequency (extracted-unverified): NAV FREQUENCY: DAILY - struck at the end of each day the NYSE is open; 'externally advised, daily valued perpetual life REIT' (the cohort's daily-NAV cadence contrast to BREIT/SREIT monthly).</w:t>
            </w:r>
          </w:p>
          <w:p>
            <w:r>
              <w:t>4.2 Fair-value hierarchy (L1/2/3) (extracted-unverified): GAAP fair-value hierarchy appears only for specific items (real estate itself is at historical cost under GAAP; the daily NAV fair-value process is separate and 'not subject to GAAP or independent audit').</w:t>
            </w:r>
          </w:p>
          <w:p>
            <w:r>
              <w:t>4.3 Independent valuation agent (extracted-unverified): Independent valuation advisor: SitusAMC Real Estate Valuation Services, LLC - selected by the Advisor, approved by the board including a majority of independent directors; founded 1931; NOT affiliated with the Company or Advisor; compensated per property appraised, not on values; manages/provides property, real-estate-loan and DST valuations but does NOT calculate the daily NAV (that is ALPS, 4.1).</w:t>
            </w:r>
          </w:p>
          <w:p>
            <w:r>
              <w:t>4.4 Methodology by asset type (extracted-unverified): By asset type (Item 5 valuation guidelines): wholly owned properties - quarterly independent appraisal, income approach (DCF) primary with sales-comparison and replacement-cost alternatives, free-and-clear basis excluding property debt; JV properties - same appraisal then JV-agreement distribution provisions applied; DST Properties - cost until first appraisal cycle, revalued before DST offerings; publicly traded RE securities - last trade/bid via third parties, liquidity discount if restricted; private placements/RE operating businesses - cost then quarterly fair value (commingled-vehicle interests may rely on issuer-assigned values); first mortgages/debt interests - cost until impairment indicator triggers third-party appraisal; liquid non-RE assets - valued daily; ALL liabilities at cost (mortgages, credit facilities); FY2025 DCF key assumptions printed by sector (total company: 5.6% exit cap, 7.3% discount/IRR, 3.1% rent growth, 10.2-yr hold) with sensitivity table.</w:t>
            </w:r>
          </w:p>
          <w:p>
            <w:r>
              <w:t>4.5 Auditor &amp; opinion (extracted-unverified): Auditor: KPMG LLP, Chicago, Illinois - Auditor Firm ID 185; auditor since 2012; opinion signed 2026-03-26.</w:t>
            </w:r>
          </w:p>
          <w:p>
            <w:r>
              <w:t>4.6 NAV restatement history (extracted-unverified): None identified: searched stripped 10-K (FY2025, filed 2026-03-26), 10-Q (Q2-2026, filed 2026-08-11) and 424B3 Supplement No. 7 (filed 2026-08-12) for 'restat'/'error correction' on 2026-08-15.</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5.1 Self-declared benchmark (extracted-unverified): Self-declared benchmark EXISTS: NFI-ODCE (NCREIF Fund Index - Open-End Diversified Core Equity) - endorsed in the Item 5 performance graph comparing Class M-I (post leverage and fees) against the S&amp;P 500 and ODCE, $100 invested 2021-01-01, dividends reinvested.</w:t>
            </w:r>
          </w:p>
          <w:p>
            <w:r>
              <w:t>5.4 Peer universe &amp; returns (computed): Peer cohort: non-traded real estate cohort (n=3: Blackstone Real Estate Income Trust Inc, Starwood Real Estate Income Trust, Inc., JLL Income Property Trust, Inc.).</w:t>
            </w:r>
          </w:p>
          <w:p>
            <w:r>
              <w:t>5.6 Benchmark suitability memo (computed): Benchmark suitability (Tark benchmark rubric, 12 points).</w:t>
            </w:r>
          </w:p>
          <w:p>
            <w:r>
              <w:t>5.7 Case-law tracker (partial): Anderson v. Intel Corp. Investment Policy Committee, No. 25-498 (U.S.).</w:t>
            </w:r>
          </w:p>
          <w:p>
            <w:r>
              <w:t>Not applicable: 5.3 no computable return profile (range-only annual prints). 5.5 no point return series.</w:t>
            </w:r>
          </w:p>
        </w:tc>
      </w:tr>
      <w:tr>
        <w:tc>
          <w:tcPr>
            <w:tcW w:type="dxa" w:w="1728"/>
          </w:tcPr>
          <w:p>
            <w:r>
              <w:t>6. Complexity (l)</w:t>
            </w:r>
          </w:p>
        </w:tc>
        <w:tc>
          <w:tcPr>
            <w:tcW w:type="dxa" w:w="7632"/>
          </w:tcPr>
          <w:p>
            <w:r>
              <w:t>Typed facts: 6.1 non-traded REIT.</w:t>
            </w:r>
          </w:p>
          <w:p>
            <w:r>
              <w:t>6.1 Structure map (extracted-unverified): Maryland corporation (inc. 2004-05-28), externally advised daily-valued perpetual-life REIT (REIT-taxed since 2004).</w:t>
            </w:r>
          </w:p>
          <w:p>
            <w:r>
              <w:t>6.2 Strategy &amp; instrument complexity (extracted-unverified): Core diversified US direct real estate: 'well-located, well-leased properties within the healthcare, industrial, residential, retail and other sectors' plus, to a lesser degree, real-estate-related assets (mortgage loans, RE debt/equity securities).</w:t>
            </w:r>
          </w:p>
          <w:p>
            <w:r>
              <w:t>6.3 Conflicts &amp; affiliated transactions (extracted-unverified): Printed conflicts web (all-affiliate stack): (1) Advisor LaSalle is paid on NAV it is ultimately responsible for calculating (fee-on-NAV conflict, quoted); (2) class-level performance fee can reward the Advisor on one class while another declines; (3) LaSalle allocation conflicts - advises other programs incl. the DST Program that compete for investments and tenants; Advisor chooses which properties to syndicate into the DST Program while Advisor and Dealer Manager 'earn fees from the DST Program'; (4) affiliated service payments FY2025: LaSalle fixed advisory fee $40,893K + employment-cost reimbursements; JLL Americas (property/construction mgmt, leasing, brokerage) $6,448K; Dealer Manager LaSalle Investment Management Distributors commissions+servicing $12,239K, DST fees $13,270K via the taxable REIT subsidiary; org/offering cost advances owed to LaSalle $3,049K; (5) JLL owned 2,521,801 M-I + 8,726,003 N shares (~$126,589K).</w:t>
            </w:r>
          </w:p>
          <w:p>
            <w:r>
              <w:t>6.5 Service-provider web (extracted-unverified): Advisor: LaSalle Investment Management, Inc. (wholly owned subsidiary of Sponsor JLL, NYSE: JLL).</w:t>
            </w:r>
          </w:p>
          <w:p>
            <w:r>
              <w:t>Not applicable: 6.4 zero hits for '1099' and 'K-1' across stripped 10-K, 10-Q and 424B3 (searched 2026-08-15).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no computable return series on record: no multi-year per-class return series is printed: the FY2025 10-K gives net total return only as a 3.0% to 3.8% range across classes and an 8-quarter NAV path without distributions (cells 1.1 and 1.2).</w:t>
      </w:r>
    </w:p>
    <w:p>
      <w:pPr>
        <w:pStyle w:val="Heading2"/>
      </w:pPr>
      <w:r>
        <w:t>Meaningful benchmark (paragraph (k)): NCREIF Fund Index - ODCE (private core RE) (score 9/12)</w:t>
      </w:r>
    </w:p>
    <w:p>
      <w:r>
        <w:t>Comparison not computed: no computable fund return series on record: no multi-year per-class return series is printed: the FY2025 10-K gives net total return only as a 3.0% to 3.8% range across classes and an 8-quarter NAV path without distributions (cells 1.1 and 1.2). The candidate is selected on its own descriptors. No number is substituted.</w:t>
      </w:r>
    </w:p>
    <w:p>
      <w:pPr>
        <w:pStyle w:val="ListBullet"/>
      </w:pPr>
      <w:r>
        <w:t>strategy_match 3/3: a private-market index of real estate for a core non-traded real estate fund</w:t>
      </w:r>
    </w:p>
    <w:p>
      <w:pPr>
        <w:pStyle w:val="ListBullet"/>
      </w:pPr>
      <w:r>
        <w:t>risk_liquidity_match 2/3: appraisal-based index of periodically dealt funds (daily dealing at NAV under 5% cap per quarter). The constituents' leverage regime is not typed in the record, so the full match is not claimed</w:t>
      </w:r>
    </w:p>
    <w:p>
      <w:pPr>
        <w:pStyle w:val="ListBullet"/>
      </w:pPr>
      <w:r>
        <w:t>provider_independence 2/2: provider unaffiliated with the fund (NCREIF):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Declared benchmark and SEC-required comparators (cell 5.1)</w:t>
      </w:r>
    </w:p>
    <w:p>
      <w:r>
        <w:t>Declared benchmark: NFI-ODCE, cited, not held, scored 9/12, selected for Slot K.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r>
        <w:t>SEC-required comparator: S&amp;P 500, held, scored 6/12, fails the strategy gate (strategy_match 0/3).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pPr>
        <w:pStyle w:val="Heading2"/>
      </w:pPr>
      <w:r>
        <w:t>Peer comparison (paragraphs (g) and (h)): non-traded real estate cohort</w:t>
      </w:r>
    </w:p>
    <w:p>
      <w:r>
        <w:t>Peers: Blackstone Real Estate Income Trust Inc, Starwood Real Estate Income Trust, Inc.. This is the history of similar investments, not the benchmark, and it is never a public market equivalent.</w:t>
      </w:r>
    </w:p>
    <w:p>
      <w:r>
        <w:t>Composite refused: fewer than 3 peers remain after leaving JLL Income Property Trust, Inc. out (2: Blackstone Real Estate Income Trust Inc, Starwood Real Estate Income Trust, Inc.). The side-by-side table is shown without a ratio.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n</w:t>
            </w:r>
          </w:p>
        </w:tc>
        <w:tc>
          <w:tcPr>
            <w:tcW w:type="dxa" w:w="1872"/>
          </w:tcPr>
          <w:p>
            <w:r>
              <w:t>JLL Income Property Trust, Inc.</w:t>
            </w:r>
          </w:p>
        </w:tc>
        <w:tc>
          <w:tcPr>
            <w:tcW w:type="dxa" w:w="1872"/>
          </w:tcPr>
          <w:p>
            <w:r>
              <w:t>Blackstone Real Estate Income Trust Inc</w:t>
            </w:r>
          </w:p>
        </w:tc>
        <w:tc>
          <w:tcPr>
            <w:tcW w:type="dxa" w:w="1872"/>
          </w:tcPr>
          <w:p>
            <w:r>
              <w:t>Starwood Real Estate Income Trust, Inc.</w:t>
            </w:r>
          </w:p>
        </w:tc>
      </w:tr>
      <w:tr>
        <w:tc>
          <w:tcPr>
            <w:tcW w:type="dxa" w:w="1872"/>
          </w:tcPr>
          <w:p>
            <w:r>
              <w:t>2023</w:t>
            </w:r>
          </w:p>
        </w:tc>
        <w:tc>
          <w:tcPr>
            <w:tcW w:type="dxa" w:w="1872"/>
          </w:tcPr>
          <w:p>
            <w:r>
              <w:t>1</w:t>
            </w:r>
          </w:p>
        </w:tc>
        <w:tc>
          <w:tcPr>
            <w:tcW w:type="dxa" w:w="1872"/>
          </w:tcPr>
          <w:p>
            <w:r>
              <w:t>n/a</w:t>
            </w:r>
          </w:p>
        </w:tc>
        <w:tc>
          <w:tcPr>
            <w:tcW w:type="dxa" w:w="1872"/>
          </w:tcPr>
          <w:p>
            <w:r>
              <w:t>-0.5%</w:t>
            </w:r>
          </w:p>
        </w:tc>
        <w:tc>
          <w:tcPr>
            <w:tcW w:type="dxa" w:w="1872"/>
          </w:tcPr>
          <w:p>
            <w:r>
              <w:t>n/a</w:t>
            </w:r>
          </w:p>
        </w:tc>
      </w:tr>
      <w:tr>
        <w:tc>
          <w:tcPr>
            <w:tcW w:type="dxa" w:w="1872"/>
          </w:tcPr>
          <w:p>
            <w:r>
              <w:t>2024</w:t>
            </w:r>
          </w:p>
        </w:tc>
        <w:tc>
          <w:tcPr>
            <w:tcW w:type="dxa" w:w="1872"/>
          </w:tcPr>
          <w:p>
            <w:r>
              <w:t>1</w:t>
            </w:r>
          </w:p>
        </w:tc>
        <w:tc>
          <w:tcPr>
            <w:tcW w:type="dxa" w:w="1872"/>
          </w:tcPr>
          <w:p>
            <w:r>
              <w:t>n/a</w:t>
            </w:r>
          </w:p>
        </w:tc>
        <w:tc>
          <w:tcPr>
            <w:tcW w:type="dxa" w:w="1872"/>
          </w:tcPr>
          <w:p>
            <w:r>
              <w:t>2%</w:t>
            </w:r>
          </w:p>
        </w:tc>
        <w:tc>
          <w:tcPr>
            <w:tcW w:type="dxa" w:w="1872"/>
          </w:tcPr>
          <w:p>
            <w:r>
              <w:t>n/a</w:t>
            </w:r>
          </w:p>
        </w:tc>
      </w:tr>
      <w:tr>
        <w:tc>
          <w:tcPr>
            <w:tcW w:type="dxa" w:w="1872"/>
          </w:tcPr>
          <w:p>
            <w:r>
              <w:t>2025</w:t>
            </w:r>
          </w:p>
        </w:tc>
        <w:tc>
          <w:tcPr>
            <w:tcW w:type="dxa" w:w="1872"/>
          </w:tcPr>
          <w:p>
            <w:r>
              <w:t>2</w:t>
            </w:r>
          </w:p>
        </w:tc>
        <w:tc>
          <w:tcPr>
            <w:tcW w:type="dxa" w:w="1872"/>
          </w:tcPr>
          <w:p>
            <w:r>
              <w:t>n/a</w:t>
            </w:r>
          </w:p>
        </w:tc>
        <w:tc>
          <w:tcPr>
            <w:tcW w:type="dxa" w:w="1872"/>
          </w:tcPr>
          <w:p>
            <w:r>
              <w:t>8.1%</w:t>
            </w:r>
          </w:p>
        </w:tc>
        <w:tc>
          <w:tcPr>
            <w:tcW w:type="dxa" w:w="1872"/>
          </w:tcPr>
          <w:p>
            <w:r>
              <w:t>-2.4%</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REIT investable proxy (VNQ)</w:t>
            </w:r>
          </w:p>
        </w:tc>
        <w:tc>
          <w:tcPr>
            <w:tcW w:type="dxa" w:w="1008"/>
          </w:tcPr>
          <w:p>
            <w:r>
              <w:t>8/12</w:t>
            </w:r>
          </w:p>
        </w:tc>
        <w:tc>
          <w:tcPr>
            <w:tcW w:type="dxa" w:w="5472"/>
          </w:tcPr>
          <w:p>
            <w:r>
              <w:t>ranked below the selected candidate: 8/12 vs 9/12 for NFI-ODCE Criteria: strategy_match 2/3: the public-market version of the asset class (listed REITs for core non-traded real estate), risk_liquidity_match 1/3: daily-liquid market series against a semi-liquid NAV fund (daily dealing at NAV under 5% cap per quarter): volatility and liquidity regimes differ, the PME construct exists for exactly this comparison, provider_independence 2/2: provider unaffiliated with the fund (Vanguard / MSCI US REIT):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S&amp;P 500 investable proxy (SPY)</w:t>
            </w:r>
          </w:p>
        </w:tc>
        <w:tc>
          <w:tcPr>
            <w:tcW w:type="dxa" w:w="1008"/>
          </w:tcPr>
          <w:p>
            <w:r>
              <w:t>6/12</w:t>
            </w:r>
          </w:p>
        </w:tc>
        <w:tc>
          <w:tcPr>
            <w:tcW w:type="dxa" w:w="5472"/>
          </w:tcPr>
          <w:p>
            <w:r>
              <w:t>rejected: strategy gate (score 6/12 but strategy_match 0/3) Criteria: strategy_match 0/3: unrelated asset class (public equity for real estate), risk_liquidity_match 1/3: daily-liquid market series against a semi-liquid NAV fund (daily dealing at NAV under 5% cap per quarter): volatility and liquidity regimes differ, the PME construct exists for exactly this comparison, provider_independence 2/2: provider unaffiliated with the fund (SPDR / S&amp;P DJI):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daily but only within a 5% cap per quarter on NAV.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daily repurchase requests,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aggregate NAV not yet carried into a typed cell. Verification-queue item</w:t>
            </w:r>
          </w:p>
        </w:tc>
        <w:tc>
          <w:tcPr>
            <w:tcW w:type="dxa" w:w="1152"/>
          </w:tcPr>
          <w:p>
            <w:r>
              <w:t>3.6</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typed in the record (aggregate NAV not yet carried into a typed cell. Verification-queue item), so the plan's dollar demand cannot be set against the fund's dollar capacity and the allocation slider is not shown.</w:t>
      </w:r>
    </w:p>
    <w:p>
      <w:r>
        <w:t>Scenario verdict (ILLUSTRATIVE, this plan): CONDITIONAL-WEAK.</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plan_tech_media.json (Form 5500, plan year 2024-01-01 to 2024-12-31).</w:t>
      </w:r>
    </w:p>
    <w:p>
      <w:pPr>
        <w:pStyle w:val="Heading1"/>
      </w:pPr>
      <w:r>
        <w:t>Peer cohort placement</w:t>
      </w:r>
    </w:p>
    <w:p>
      <w:r>
        <w:t>Evidence depth tier: COHORT. Cohort: Non-traded NAV REITs (n=3). Membership rationale: Perpetual NAV REIT of older vintage in the same wrapper class. NAV cadence and scale differences disclosed.</w:t>
      </w:r>
    </w:p>
    <w:p>
      <w:r>
        <w:t>Cohort placement (non-traded real estate cohort): mgmt fee: at the cohort median of 1.25 (n=3, too small for percentile language) | expense ratio (bases differ, see notes): fact unavailable for this member | repurchase cap: above the cohort median of 2 (n=3, too small for percentile language). Statistics and per-member values are in the cohort artifact, membership rationales in the typed facts.</w:t>
      </w:r>
    </w:p>
    <w:p>
      <w:r>
        <w:t>Cohort composite return: not formed, members report on different year ends (breit: calendar years, sreit: calendar years, jll_ipt: no period returns),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media/technology company 401(k) plan (~$570M, New York) (ILLUSTRATIVE): CONDITIONAL-WEAK.</w:t>
      </w:r>
    </w:p>
    <w:p>
      <w:r>
        <w:t>Meaningful benchmark (paragraph (k)): NCREIF Fund Index - ODCE (private core RE) at 9/12, cited, series not in the record. Peer comparison (paragraphs (g) and (h)): composite refused, fewer than 3 peers remain after leaving JLL Income Property Trust, Inc. out (2: Blackstone Real Estate Income Trust Inc, Starwood Real Estate Income Trust, Inc.).</w:t>
      </w:r>
    </w:p>
    <w:p>
      <w:r>
        <w:t>Flags raised by the record (each restates a typed value or verdict already in the artifacts, with its source):</w:t>
      </w:r>
    </w:p>
    <w:p>
      <w:pPr>
        <w:pStyle w:val="ListBullet"/>
      </w:pPr>
      <w:r>
        <w:t>Benchmark: the meaningful benchmark carries no computed comparison (no computable fund return series on record: no multi-year per-class return series is printed: the FY2025 10-K gives net total return only as a 3.0% to 3.8% range across classes and an 8-quarter NAV path without distributions (cells 1.1 and 1.2)) (benchmark selection)</w:t>
      </w:r>
    </w:p>
    <w:p>
      <w:pPr>
        <w:pStyle w:val="ListBullet"/>
      </w:pPr>
      <w:r>
        <w:t>Peer comparison: composite refused, fewer than 3 peers remain after leaving JLL Income Property Trust, Inc. out (2: Blackstone Real Estate Income Trust Inc, Starwood Real Estate Income Trust, Inc.) (cell 1.12)</w:t>
      </w:r>
    </w:p>
    <w:p>
      <w:pPr>
        <w:pStyle w:val="ListBullet"/>
      </w:pPr>
      <w:r>
        <w:t>Liquidity: ILLUSTRATIVE scenario verdict conditional-weak under this plan (the filed outflow proxy or the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7, partial 5, fetched 1, n/a 18, pending 0. 37 of 37 resolvable, 0 verified, 18 n/a by wrapper.</w:t>
      </w:r>
    </w:p>
    <w:p>
      <w:r>
        <w:t>Of the 36 evidenced cells, 36 carry a source document, 36 a section, 29 a verbatim quote (computed cells carry their computation and inputs instead of a quote) and 36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1.2</w:t>
            </w:r>
          </w:p>
        </w:tc>
        <w:tc>
          <w:tcPr>
            <w:tcW w:type="dxa" w:w="3456"/>
          </w:tcPr>
          <w:p>
            <w:r>
              <w:t>Form 10-Q Q2-2026 (filed 2026-08-11); Form 10-K FY2025 (filed 2026-03-26)</w:t>
            </w:r>
          </w:p>
        </w:tc>
        <w:tc>
          <w:tcPr>
            <w:tcW w:type="dxa" w:w="5184"/>
          </w:tcPr>
          <w:p>
            <w:r>
              <w:t>10-Q 2026-08-11 accession 0001314152-26-000149 https://www.sec.gov/Archives/edgar/data/1314152/000131415226000149/jllipt-20260630.htm</w:t>
            </w:r>
          </w:p>
          <w:p>
            <w:r>
              <w:t>10-K 2026-03-26 accession 0001314152-26-000030 https://www.sec.gov/Archives/edgar/data/1314152/000131415226000030/jllipt-20251231.htm</w:t>
            </w:r>
          </w:p>
        </w:tc>
      </w:tr>
      <w:tr>
        <w:tc>
          <w:tcPr>
            <w:tcW w:type="dxa" w:w="720"/>
          </w:tcPr>
          <w:p>
            <w:r>
              <w:t>1.3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1.4</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1.5</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1.11</w:t>
            </w:r>
          </w:p>
        </w:tc>
        <w:tc>
          <w:tcPr>
            <w:tcW w:type="dxa" w:w="3456"/>
          </w:tcPr>
          <w:p>
            <w:r>
              <w:t>Form 10-K FY2025 (filed 2026-03-26); 424B3 Supplement No. 7 (filed 2026-08-12); Form 10-Q Q2-2026 (filed 2026-08-11)</w:t>
            </w:r>
          </w:p>
        </w:tc>
        <w:tc>
          <w:tcPr>
            <w:tcW w:type="dxa" w:w="5184"/>
          </w:tcPr>
          <w:p>
            <w:r>
              <w:t>10-K 2026-03-26 accession 0001314152-26-000030 https://www.sec.gov/Archives/edgar/data/1314152/000131415226000030/jllipt-20251231.htm</w:t>
            </w:r>
          </w:p>
          <w:p>
            <w:r>
              <w:t>424B3 2026-08-12 accession 0001314152-26-000153 https://www.sec.gov/Archives/edgar/data/1314152/000131415226000153/supp7august122026.htm</w:t>
            </w:r>
          </w:p>
          <w:p>
            <w:r>
              <w:t>10-Q 2026-08-11 accession 0001314152-26-000149 https://www.sec.gov/Archives/edgar/data/1314152/000131415226000149/jllipt-20260630.htm</w:t>
            </w:r>
          </w:p>
        </w:tc>
      </w:tr>
      <w:tr>
        <w:tc>
          <w:tcPr>
            <w:tcW w:type="dxa" w:w="720"/>
          </w:tcPr>
          <w:p>
            <w:r>
              <w:t>1.12</w:t>
            </w:r>
          </w:p>
        </w:tc>
        <w:tc>
          <w:tcPr>
            <w:tcW w:type="dxa" w:w="3456"/>
          </w:tcPr>
          <w:p>
            <w:r>
              <w:t>benchmark selection artifact (JLL Income Property Trust, Inc.)</w:t>
            </w:r>
          </w:p>
        </w:tc>
        <w:tc>
          <w:tcPr>
            <w:tcW w:type="dxa" w:w="5184"/>
          </w:tcPr>
          <w:p>
            <w:r>
              <w:t>accession not on record: no filing reference in the source field</w:t>
            </w:r>
          </w:p>
        </w:tc>
      </w:tr>
      <w:tr>
        <w:tc>
          <w:tcPr>
            <w:tcW w:type="dxa" w:w="720"/>
          </w:tcPr>
          <w:p>
            <w:r>
              <w:t>2.1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2.2</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2.3</w:t>
            </w:r>
          </w:p>
        </w:tc>
        <w:tc>
          <w:tcPr>
            <w:tcW w:type="dxa" w:w="3456"/>
          </w:tcPr>
          <w:p>
            <w:r>
              <w:t>Form 10-K FY2025 (filed 2026-03-26); Form 10-Q Q2-2026 (filed 2026-08-11) - mechanical absence search 2026-08-15</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2.4</w:t>
            </w:r>
          </w:p>
        </w:tc>
        <w:tc>
          <w:tcPr>
            <w:tcW w:type="dxa" w:w="3456"/>
          </w:tcPr>
          <w:p>
            <w:r>
              <w:t>Form 10-K FY2025 (filed 2026-03-26) - mechanical absence search 2026-08-15</w:t>
            </w:r>
          </w:p>
        </w:tc>
        <w:tc>
          <w:tcPr>
            <w:tcW w:type="dxa" w:w="5184"/>
          </w:tcPr>
          <w:p>
            <w:r>
              <w:t>10-K 2026-03-26 accession 0001314152-26-000030 https://www.sec.gov/Archives/edgar/data/1314152/000131415226000030/jllipt-20251231.htm</w:t>
            </w:r>
          </w:p>
        </w:tc>
      </w:tr>
      <w:tr>
        <w:tc>
          <w:tcPr>
            <w:tcW w:type="dxa" w:w="720"/>
          </w:tcPr>
          <w:p>
            <w:r>
              <w:t>2.6</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2.7</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2.9</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3.1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3.3</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3.4</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3.6</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(JLL Income Property Trust,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(JLL Income Property Trust, Inc.,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2026-03-26); 424B3 Supplement No. 7 (filed 2026-08-12)</w:t>
            </w:r>
          </w:p>
        </w:tc>
        <w:tc>
          <w:tcPr>
            <w:tcW w:type="dxa" w:w="5184"/>
          </w:tcPr>
          <w:p>
            <w:r>
              <w:t>10-K 2026-03-26 accession 0001314152-26-000030 https://www.sec.gov/Archives/edgar/data/1314152/000131415226000030/jllipt-20251231.htm</w:t>
            </w:r>
          </w:p>
          <w:p>
            <w:r>
              <w:t>424B3 2026-08-12 accession 0001314152-26-000153 https://www.sec.gov/Archives/edgar/data/1314152/000131415226000153/supp7august122026.htm</w:t>
            </w:r>
          </w:p>
        </w:tc>
      </w:tr>
      <w:tr>
        <w:tc>
          <w:tcPr>
            <w:tcW w:type="dxa" w:w="720"/>
          </w:tcPr>
          <w:p>
            <w:r>
              <w:t>4.2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4.4</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4.5</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4.6</w:t>
            </w:r>
          </w:p>
        </w:tc>
        <w:tc>
          <w:tcPr>
            <w:tcW w:type="dxa" w:w="3456"/>
          </w:tcPr>
          <w:p>
            <w:r>
              <w:t>All three on-disk JLL IPT filings (mechanical search 2026-08-15)</w:t>
            </w:r>
          </w:p>
        </w:tc>
        <w:tc>
          <w:tcPr>
            <w:tcW w:type="dxa" w:w="5184"/>
          </w:tcPr>
          <w:p>
            <w:r>
              <w:t>accession not on record: no filing reference in the source field</w:t>
            </w:r>
          </w:p>
        </w:tc>
      </w:tr>
      <w:tr>
        <w:tc>
          <w:tcPr>
            <w:tcW w:type="dxa" w:w="720"/>
          </w:tcPr>
          <w:p>
            <w:r>
              <w:t>5.1</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5.4</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5.6</w:t>
            </w:r>
          </w:p>
        </w:tc>
        <w:tc>
          <w:tcPr>
            <w:tcW w:type="dxa" w:w="3456"/>
          </w:tcPr>
          <w:p>
            <w:r>
              <w:t>benchmark selection artifact (JLL Income Property Trust,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6.5</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bl>
    <w:p>
      <w:r>
        <w:t>Data sources: SEC EDGAR filings (3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