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KKR Private Equity Conglomerate LLC (non-traded '34 Act reporting company, CIK 1957845)</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CONDITIONAL-WEAK.</w:t>
      </w:r>
    </w:p>
    <w:p>
      <w:r>
        <w:t>Meaningful benchmark (paragraph (k)): Cambridge Associates US PE benchmark at 9/12, no comparison computed (cited, series not in the record: no comparison computed).</w:t>
      </w:r>
    </w:p>
    <w:p>
      <w:r>
        <w:t>Reference comparison, not the meaningful benchmark: Listed private equity investable proxy (PSP), KS-PME 1.0387, Direct Alpha 1.91%/yr over 2023-12-31 to 2025-12-31.</w:t>
      </w:r>
    </w:p>
    <w:p>
      <w:r>
        <w:t>Peer comparison (paragraphs (g) and (h)): composite refused, members report on different year ends and no member has a series that builds a common calendar period (Hamilton Lane Private Assets Fund fiscal years to month 03, StepStone Private Markets fiscal years to month 03, Ares Private Markets Fund fiscal years to month 03, AMG Pantheon Fund, LLC fiscal years to month 03, KKR Private Equity Conglomerate LLC calendar years). A composite needs identical start and end dates for every member.</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Benchmark: low confidence: 2-year window, shorter than 3 years (benchmark comparison)</w:t>
      </w:r>
    </w:p>
    <w:p>
      <w:pPr>
        <w:pStyle w:val="ListBullet"/>
      </w:pPr>
      <w:r>
        <w:t>Peer comparison: composite refused, members report on different year ends and no member has a series that builds a common calendar period (Hamilton Lane Private Assets Fund fiscal years to month 03, StepStone Private Markets fiscal years to month 03, Ares Private Markets Fund fiscal years to month 03, AMG Pantheon Fund, LLC fiscal years to month 03, KKR Private Equity Conglomerate LLC calendar years). A composite needs identical start and end dates for every member (cell 1.12)</w:t>
      </w:r>
    </w:p>
    <w:p>
      <w:pPr>
        <w:pStyle w:val="ListBullet"/>
      </w:pPr>
      <w:r>
        <w:t>Liquidity: structural verdict partial, facts missing: gate_history (cells 3.1, 3.3)</w:t>
      </w:r>
    </w:p>
    <w:p>
      <w:pPr>
        <w:pStyle w:val="ListBullet"/>
      </w:pPr>
      <w:r>
        <w:t>Liquidity: ILLUSTRATIVE scenario verdict conditional-weak under this plan (the filed outflow proxy or the stressed demand above wrapper capacity)</w:t>
      </w:r>
    </w:p>
    <w:p>
      <w:pPr>
        <w:pStyle w:val="ListBullet"/>
      </w:pPr>
      <w:r>
        <w:t>Tax reporting: Schedule K-1 (cell 6.4)</w:t>
      </w:r>
    </w:p>
    <w:p>
      <w:r>
        <w:t>Evidence coverage: 41 of 41 resolvable, 0 verified, 14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Cambridge Associates US PE benchmark</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Listed private equity investable proxy (PSP)</w:t>
            </w:r>
          </w:p>
        </w:tc>
        <w:tc>
          <w:tcPr>
            <w:tcW w:type="dxa" w:w="864"/>
          </w:tcPr>
          <w:p>
            <w:r>
              <w:t>8/12</w:t>
            </w:r>
          </w:p>
        </w:tc>
        <w:tc>
          <w:tcPr>
            <w:tcW w:type="dxa" w:w="3888"/>
          </w:tcPr>
          <w:p>
            <w:r>
              <w:t>KS-PME 1.0387, Direct Alpha 1.91%/yr, 2023-12-31 to 2025-12-31</w:t>
            </w:r>
          </w:p>
        </w:tc>
      </w:tr>
      <w:tr>
        <w:tc>
          <w:tcPr>
            <w:tcW w:type="dxa" w:w="1152"/>
          </w:tcPr>
          <w:p>
            <w:r>
              <w:t>Peer comparison (paragraphs (g) and (h))</w:t>
            </w:r>
          </w:p>
        </w:tc>
        <w:tc>
          <w:tcPr>
            <w:tcW w:type="dxa" w:w="3456"/>
          </w:tcPr>
          <w:p>
            <w:r>
              <w:t>Peer composite, evergreen private equity cohort without KKR Private Equity Conglomerate LLC</w:t>
            </w:r>
          </w:p>
        </w:tc>
        <w:tc>
          <w:tcPr>
            <w:tcW w:type="dxa" w:w="864"/>
          </w:tcPr>
          <w:p>
            <w:r>
              <w:t>not scored</w:t>
            </w:r>
          </w:p>
        </w:tc>
        <w:tc>
          <w:tcPr>
            <w:tcW w:type="dxa" w:w="3888"/>
          </w:tcPr>
          <w:p>
            <w:r>
              <w:t>composite refused: members report on different year ends and no member has a series that builds a common calendar period (Hamilton Lane Private Assets Fund fiscal years to month 03, StepStone Private Markets fiscal years to month 03, Ares Private Markets Fund fiscal years to month 03, AMG Pantheon Fund, LLC fiscal years to month 03, KKR Private Equity Conglomerate LLC calendar years). A composite needs identical start and end dates for every member</w:t>
            </w:r>
          </w:p>
        </w:tc>
      </w:tr>
      <w:tr>
        <w:tc>
          <w:tcPr>
            <w:tcW w:type="dxa" w:w="1152"/>
          </w:tcPr>
          <w:p>
            <w:r>
              <w:t>rejected</w:t>
            </w:r>
          </w:p>
        </w:tc>
        <w:tc>
          <w:tcPr>
            <w:tcW w:type="dxa" w:w="3456"/>
          </w:tcPr>
          <w:p>
            <w:r>
              <w:t>Listed private equity investable proxy (PSP)</w:t>
            </w:r>
          </w:p>
        </w:tc>
        <w:tc>
          <w:tcPr>
            <w:tcW w:type="dxa" w:w="864"/>
          </w:tcPr>
          <w:p>
            <w:r>
              <w:t>8/12</w:t>
            </w:r>
          </w:p>
        </w:tc>
        <w:tc>
          <w:tcPr>
            <w:tcW w:type="dxa" w:w="3888"/>
          </w:tcPr>
          <w:p>
            <w:r>
              <w:t>ranked below the selected candidate: 8/12 vs 9/12 for Cambridge PE benchmark</w:t>
            </w:r>
          </w:p>
        </w:tc>
      </w:tr>
      <w:tr>
        <w:tc>
          <w:tcPr>
            <w:tcW w:type="dxa" w:w="1152"/>
          </w:tcPr>
          <w:p>
            <w:r>
              <w:t>rejected</w:t>
            </w:r>
          </w:p>
        </w:tc>
        <w:tc>
          <w:tcPr>
            <w:tcW w:type="dxa" w:w="3456"/>
          </w:tcPr>
          <w:p>
            <w:r>
              <w:t>MSCI World investable proxy (URTH)</w:t>
            </w:r>
          </w:p>
        </w:tc>
        <w:tc>
          <w:tcPr>
            <w:tcW w:type="dxa" w:w="864"/>
          </w:tcPr>
          <w:p>
            <w:r>
              <w:t>7/12</w:t>
            </w:r>
          </w:p>
        </w:tc>
        <w:tc>
          <w:tcPr>
            <w:tcW w:type="dxa" w:w="3888"/>
          </w:tcPr>
          <w:p>
            <w:r>
              <w:t>rejected: strategy gate (score 7/12 but strategy_match 1/3)</w:t>
            </w:r>
          </w:p>
        </w:tc>
      </w:tr>
    </w:tbl>
    <w:p>
      <w:pPr>
        <w:pStyle w:val="Heading1"/>
      </w:pPr>
      <w:r>
        <w:t>Exhibit B. Liquidity match for this plan</w:t>
      </w:r>
    </w:p>
    <w:p>
      <w:r>
        <w:t>Plan: US media/technology company 401(k) plan (~$570M, New York).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aggregate NAV. Direct DIA use requires a bridging structure: CIT sleeve, managed account, or TDF sleeve (cell 3.5).</w:t>
      </w:r>
    </w:p>
    <w:p>
      <w:pPr>
        <w:pStyle w:val="ListBullet"/>
      </w:pPr>
      <w:r>
        <w:t>Facts missing for a structural verdict: gate_history (shares requested versus repurchased: the 10-K prints repurchases by class and discloses no proration, deferral or unsatisfied-request event for 2024-2025, but the requested amounts are not printed, so a clean False would overclaim (R2-P1-12 rule)). The verdict stays partial until they are typed from the filings.</w:t>
      </w:r>
    </w:p>
    <w:p>
      <w:pPr>
        <w:pStyle w:val="ListBullet"/>
      </w:pPr>
      <w:r>
        <w:t>Early repurchase economics: 5% if held &lt; 24 months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LLC ('34 Act)</w:t>
            </w:r>
          </w:p>
        </w:tc>
        <w:tc>
          <w:tcPr>
            <w:tcW w:type="dxa" w:w="1152"/>
          </w:tcPr>
          <w:p>
            <w:r>
              <w:t>6.1</w:t>
            </w:r>
          </w:p>
        </w:tc>
      </w:tr>
      <w:tr>
        <w:tc>
          <w:tcPr>
            <w:tcW w:type="dxa" w:w="2448"/>
          </w:tcPr>
          <w:p>
            <w:r>
              <w:t>Dealing terms</w:t>
            </w:r>
          </w:p>
        </w:tc>
        <w:tc>
          <w:tcPr>
            <w:tcW w:type="dxa" w:w="5760"/>
          </w:tcPr>
          <w:p>
            <w:r>
              <w:t>quarterly offers, 5% cap per quarter on aggregate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shares requested versus repurchased: the 10-K prints repurchases by class and discloses no proration, deferral or unsatisfied-request event for 2024-2025, but the requested amounts are not printed, so a clean False would overclaim (R2-P1-12 rule)</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5% if held &lt; 24 months (2.7)</w:t>
            </w:r>
          </w:p>
        </w:tc>
        <w:tc>
          <w:tcPr>
            <w:tcW w:type="dxa" w:w="1152"/>
          </w:tcPr>
          <w:p>
            <w:r>
              <w:t>2.7</w:t>
            </w:r>
          </w:p>
        </w:tc>
      </w:tr>
      <w:tr>
        <w:tc>
          <w:tcPr>
            <w:tcW w:type="dxa" w:w="2448"/>
          </w:tcPr>
          <w:p>
            <w:r>
              <w:t>Fund net assets (for the dollar capacity)</w:t>
            </w:r>
          </w:p>
        </w:tc>
        <w:tc>
          <w:tcPr>
            <w:tcW w:type="dxa" w:w="5760"/>
          </w:tcPr>
          <w:p>
            <w:r>
              <w:t>approx. $9.5B</w:t>
            </w:r>
          </w:p>
        </w:tc>
        <w:tc>
          <w:tcPr>
            <w:tcW w:type="dxa" w:w="1152"/>
          </w:tcPr>
          <w:p>
            <w:r>
              <w:t>3.3</w:t>
            </w:r>
          </w:p>
        </w:tc>
      </w:tr>
    </w:tbl>
    <w:p>
      <w:pPr>
        <w:pStyle w:val="Heading2"/>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site, not a fact): tail turnover 20%/yr, active turnover 5%/yr, 10.4% of the position per year = $2.9M/yr, shown beside the filed rate, not blended with it.</w:t>
      </w:r>
    </w:p>
    <w:p>
      <w:r>
        <w:t>Stressed (the filed outflow proxy plus the increment the sliders add under stress (tail turnover x2, active turnover x1.5 over the slider assumption)): demand $5.8M/yr = 20.5% of the position. EXCEEDS annual wrapper capacity (20.5% vs 20%). Unmet demand rolls into later windows (gating-equivalent outcome).</w:t>
      </w:r>
    </w:p>
    <w:p>
      <w:r>
        <w:t>Fund capacity in dollars: $1.9B per year (20% of approx. $9.5B net assets, cell 3.3). The plan's demand at the filed rate is $3.3M per year, 0.17% of that capacity, a claim shared with every other holder.</w:t>
      </w:r>
    </w:p>
    <w:p>
      <w:r>
        <w:t>Scenario verdict (ILLUSTRATIVE, this plan): CONDITIONAL-WEAK.</w:t>
      </w:r>
    </w:p>
    <w:p>
      <w:pPr>
        <w:pStyle w:val="ListBullet"/>
      </w:pPr>
      <w:r>
        <w:t>Capacity: 5% per quarter on aggregate NAV: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sliders.</w:t>
      </w:r>
    </w:p>
    <w:p>
      <w:pPr>
        <w:pStyle w:val="ListBullet"/>
      </w:pPr>
      <w:r>
        <w:t>Fund capacity in dollars: 20% of approx. $9.5B net assets (cell 3.3) is $1.9B per year. At a 5% allocation ($28.3M) the plan's demand at the filed rate is $3.3M per year, 0.17%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conditional-weak.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incentive fee: 15% / 5% hurdle</w:t>
            </w:r>
          </w:p>
        </w:tc>
        <w:tc>
          <w:tcPr>
            <w:tcW w:type="dxa" w:w="2880"/>
          </w:tcPr>
          <w:p>
            <w:r>
              <w:t>extracted-unverified</w:t>
            </w:r>
          </w:p>
        </w:tc>
      </w:tr>
      <w:tr>
        <w:tc>
          <w:tcPr>
            <w:tcW w:type="dxa" w:w="2880"/>
          </w:tcPr>
          <w:p>
            <w:r>
              <w:t>2.3 Total expense ratio &amp; waivers</w:t>
            </w:r>
          </w:p>
        </w:tc>
        <w:tc>
          <w:tcPr>
            <w:tcW w:type="dxa" w:w="3600"/>
          </w:tcPr>
          <w:p>
            <w:r>
              <w:t>no typed fact for this cell</w:t>
            </w:r>
          </w:p>
        </w:tc>
        <w:tc>
          <w:tcPr>
            <w:tcW w:type="dxa" w:w="2880"/>
          </w:tcPr>
          <w:p>
            <w:r>
              <w:t>partial</w:t>
            </w:r>
          </w:p>
        </w:tc>
      </w:tr>
      <w:tr>
        <w:tc>
          <w:tcPr>
            <w:tcW w:type="dxa" w:w="2880"/>
          </w:tcPr>
          <w:p>
            <w:r>
              <w:t>2.4 AFFE</w:t>
            </w:r>
          </w:p>
        </w:tc>
        <w:tc>
          <w:tcPr>
            <w:tcW w:type="dxa" w:w="3600"/>
          </w:tcPr>
          <w:p>
            <w:r>
              <w:t>no typed fact for this cell</w:t>
            </w:r>
          </w:p>
        </w:tc>
        <w:tc>
          <w:tcPr>
            <w:tcW w:type="dxa" w:w="2880"/>
          </w:tcPr>
          <w:p>
            <w:r>
              <w:t>partial</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5% &lt; 24 months</w:t>
            </w:r>
          </w:p>
        </w:tc>
        <w:tc>
          <w:tcPr>
            <w:tcW w:type="dxa" w:w="2880"/>
          </w:tcPr>
          <w:p>
            <w:r>
              <w:t>extracted-unverified</w:t>
            </w:r>
          </w:p>
        </w:tc>
      </w:tr>
      <w:tr>
        <w:tc>
          <w:tcPr>
            <w:tcW w:type="dxa" w:w="2880"/>
          </w:tcPr>
          <w:p>
            <w:r>
              <w:t>6.4 Tax reporting (1099 vs K-1)</w:t>
            </w:r>
          </w:p>
        </w:tc>
        <w:tc>
          <w:tcPr>
            <w:tcW w:type="dxa" w:w="3600"/>
          </w:tcPr>
          <w:p>
            <w:r>
              <w:t>Schedule K-1</w:t>
            </w:r>
          </w:p>
        </w:tc>
        <w:tc>
          <w:tcPr>
            <w:tcW w:type="dxa" w:w="2880"/>
          </w:tcPr>
          <w:p>
            <w:r>
              <w:t>extracted-unverified</w:t>
            </w:r>
          </w:p>
        </w:tc>
      </w:tr>
    </w:tbl>
    <w:p>
      <w:pPr>
        <w:pStyle w:val="Heading1"/>
      </w:pPr>
      <w:r>
        <w:t>Exhibit D. Peer cohort placement</w:t>
      </w:r>
    </w:p>
    <w:p>
      <w:r>
        <w:t>Cohort Evergreen private equity ('40-Act funds + '34-Act conglomerate) (n=5). '34-Act conglomerate of controlled PE businesses. Joins under the authorized fallback (its Reg D twins have no public filings). Cross-wrapper caveats carried by the cohort caveat block.</w:t>
      </w:r>
    </w:p>
    <w:p>
      <w:r>
        <w:t>Cohort placement (evergreen private equity cohort): mgmt fee: 30th percentile of cohort (n=5), below the median of 1.4 | expense ratio (bases differ, see notes): 50th percentile of cohort (n=5), at the median of 3.19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0, extracted-unverified 26, verified 0, computed 10, partial 4, fetched 1, n/a 14,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