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Blue Owl Credit Income Corp. (perpetual-life non-traded BDC (quarterly 13e-4 tenders), CIK 1812554)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1.15 vs BKLN (reference, not the benchmark). 1.11 inception 2020-11-10, 5.1 years. 1.12 peer relative wealth ratio 1.01, not a benchmark.</w:t>
            </w:r>
          </w:p>
          <w:p>
            <w:r>
              <w:t>1.1 Net total return series (extracted-unverified): Annual net total returns (NAV-based, DRIP-assumed, net of all fees) by class — 2021: S 5.1% / D 6.1% / I 4.3%; 2022: 4.2% / 4.9% / 5.2%; 2023: 12.6% / 13.3% / 13.5%; 2024: 10.4% / 11.1% / 11.5%; 2025: 7.1% / 7.7% / 7.9%; 2020 partial period (Nov 10-Dec 31, Class I only): (5.6)%.</w:t>
            </w:r>
          </w:p>
          <w:p>
            <w:r>
              <w:t>1.2 Trailing &amp; calendar-year returns (partial): Calendar-year total returns are printed per class for 2020 (partial) through 2025 (see 1.1).</w:t>
            </w:r>
          </w:p>
          <w:p>
            <w:r>
              <w:t>1.3 Gross vs net spread (partial): No gross-of-fee return series is published; only net total returns.</w:t>
            </w:r>
          </w:p>
          <w:p>
            <w:r>
              <w:t>1.4 Distribution history &amp; composition (extracted-unverified): Monthly distributions, declared by the Board monthly in arrears.</w:t>
            </w:r>
          </w:p>
          <w:p>
            <w:r>
              <w:t>1.5 Underlying sleeve/GP performance (extracted-unverified): OCIC is a direct lender; there are no underlying external GPs/sleeves.</w:t>
            </w:r>
          </w:p>
          <w:p>
            <w:r>
              <w:t>1.6 Volatility &amp; max drawdown (partial): No volatility or max-drawdown statistics are published.</w:t>
            </w:r>
          </w:p>
          <w:p>
            <w:r>
              <w:t>1.8 Risk-adjusted metrics (PME etc) (computed): Meaningful benchmark (paragraph (k)), Cliffwater Direct Lending Index (CDLI) scored 9/12: no comparison computed (cited, series not in the record: no comparison computed).</w:t>
            </w:r>
          </w:p>
          <w:p>
            <w:r>
              <w:t>1.9 Stress-window performance (partial): Fund commenced operations November 10, 2020, so it has NO COVID-crash (March 2020) history.</w:t>
            </w:r>
          </w:p>
          <w:p>
            <w:r>
              <w:t>1.11 Track record &amp; manager tenure (extracted-unverified): Formed April 22, 2020 (Maryland); commenced operations November 10, 2020; continuous public offering commenced November 12, 2020.</w:t>
            </w:r>
          </w:p>
          <w:p>
            <w:r>
              <w:t>1.12 Peer comparison (paragraphs (g) and (h)) (computed): Peer comparison (paragraphs (g) and (h)): private credit cohort, peers Cliffwater Corporate Lending Fund, Blackstone Private Credit Fund, PIMCO Flexible Credit Income Fund, CION Ares Diversified Credit Fund, fund return basis filed calendar-year returns (December fiscal year).</w:t>
            </w:r>
          </w:p>
          <w:p>
            <w:r>
              <w:t>Not applicable: 1.7 no sub-annual public series. 1.10 unlisted).</w:t>
            </w:r>
          </w:p>
        </w:tc>
      </w:tr>
      <w:tr>
        <w:tc>
          <w:tcPr>
            <w:tcW w:type="dxa" w:w="1728"/>
          </w:tcPr>
          <w:p>
            <w:r>
              <w:t>2. Fees (h)</w:t>
            </w:r>
          </w:p>
        </w:tc>
        <w:tc>
          <w:tcPr>
            <w:tcW w:type="dxa" w:w="7632"/>
          </w:tcPr>
          <w:p>
            <w:r>
              <w:t>Typed facts: 2.1 1.25% on net assets. 2.2 incentive fee: 12.5% / 5% hurdle. 2.3 8.40% expense ratio, net, including the interest and financing cost of BDC leverage (FY2025, Class I). 2.4 AFFE 0.00%. 2.7 early repurchase fee: none.</w:t>
            </w:r>
          </w:p>
          <w:p>
            <w:r>
              <w:t>2.1 Management fee (rate AND base) (extracted-unverified): Base management fee: 1.25% per annum on the average value of NET ASSETS at the end of the two most recently completed calendar months, payable monthly in arrears (NOT a gross/total-assets base — leverage is excluded from the fee base).</w:t>
            </w:r>
          </w:p>
          <w:p>
            <w:r>
              <w:t>2.2 Incentive fee terms (extracted-unverified): Two-part incentive fee.</w:t>
            </w:r>
          </w:p>
          <w:p>
            <w:r>
              <w:t>2.3 Total expense ratio &amp; waivers (extracted-unverified): N-2 fee table (as % of net assets attributable to common shares, assuming $18.1B average net assets and borrowing equal to 100% of average net assets): Total annual expenses 9.94% (Class S) / 9.34% (D) / 9.09% (I) = base management fee 1.25% + incentive fee assumed 0.00% + interest on borrowed funds 7.59% + servicing fee 0.85%/0.25%/0% + other expenses 0.25%.</w:t>
            </w:r>
          </w:p>
          <w:p>
            <w:r>
              <w:t>2.4 AFFE (extracted-unverified): Acquired fund fees and expenses line in the N-2 fee table is 0% (shown as —) for all three classes; the fund does not expect material expenses from investing in other registered funds/BDCs.</w:t>
            </w:r>
          </w:p>
          <w:p>
            <w:r>
              <w:t>2.5 Underlying GP economics (extracted-unverified): No external underlying GPs (direct lender).</w:t>
            </w:r>
          </w:p>
          <w:p>
            <w:r>
              <w:t>2.6 Loads &amp; servicing fees (extracted-unverified): Upfront selling commissions (deducted from purchase price): up to 3.50% of offering price for Class S, up to 1.50% for Class D, none for Class I (N-2 fee table shows 3.38%/1.48% of proceeds).</w:t>
            </w:r>
          </w:p>
          <w:p>
            <w:r>
              <w:t>2.7 Early repurchase fee (extracted-unverified): NONE.</w:t>
            </w:r>
          </w:p>
          <w:p>
            <w:r>
              <w:t>2.9 Fee peer percentile (computed): Cohort placement (private credit cohort): mgmt fee: 50th percentile of cohort (n=5), at the median of 1.25 | expense ratio (bases differ, see notes): 90th percentile of cohort (n=5), above the median of 3.76 | repurchase cap: 50th percentile of cohort (n=5), at the median of 5.</w:t>
            </w:r>
          </w:p>
          <w:p>
            <w:r>
              <w:t>2.10 Value justification (extracted-unverified): The only value-for-fees justification in the filings is the Board's annual 15(c) approval (meeting May 5, 2025): the Board reviewed nature/quality/extent of services, comparative BDC fee data, projected expense ratios vs similar-objective BDCs, adviser profitability and alternatives, and concluded the advisory fee rates are reasonable.</w:t>
            </w:r>
          </w:p>
          <w:p>
            <w:r>
              <w:t>Not applicable: 2.8 documented-unavailable.</w:t>
            </w:r>
          </w:p>
        </w:tc>
      </w:tr>
      <w:tr>
        <w:tc>
          <w:tcPr>
            <w:tcW w:type="dxa" w:w="1728"/>
          </w:tcPr>
          <w:p>
            <w:r>
              <w:t>3. Liquidity (i)</w:t>
            </w:r>
          </w:p>
        </w:tc>
        <w:tc>
          <w:tcPr>
            <w:tcW w:type="dxa" w:w="7632"/>
          </w:tcPr>
          <w:p>
            <w:r>
              <w:t>Typed facts: 3.1 quarterly dealing, 5% cap per quarter on outstanding shares. 3.6 $19.8B net assets. 3.9 structural verdict partial, plan-independent.</w:t>
            </w:r>
          </w:p>
          <w:p>
            <w:r>
              <w:t>3.1 Wrapper liquidity terms (extracted-unverified): Perpetual-life, non-traded BDC.</w:t>
            </w:r>
          </w:p>
          <w:p>
            <w:r>
              <w:t>3.2 Repurchase mechanics (extracted-unverified): Mechanics: issuer tender offers under Exchange Act Rule 13e-4 (SC TO-I checkbox: 'Issuer tender offer subject to Rule 13e-4'), NOT Rule 23c-3 interval-fund repurchases.</w:t>
            </w:r>
          </w:p>
          <w:p>
            <w:r>
              <w:t>3.3 Repurchase history (partial): Twelve consecutive quarterly tenders completed FY2023-FY2025, all three classes, every quarter.</w:t>
            </w:r>
          </w:p>
          <w:p>
            <w:r>
              <w:t>3.4 Portfolio liquidity profile (extracted-unverified): Portfolio is fundamentally illiquid: $30.48B of $35.92B total investments are Level 3 and substantially all lack readily available market prices; 88.0% first-lien senior secured private loans across 370 companies.</w:t>
            </w:r>
          </w:p>
          <w:p>
            <w:r>
              <w:t>3.6 Fund leverage &amp; facilities (extracted-unverified): Asset coverage ratio 223% at 12/31/2025 (209% at 12/31/2024) against the reduced 150% minimum (shareholder-approved Sept 30, 2020, effective Oct 1, 2020 — permits ~2:1 debt/equity).</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PARTIAL (typed facts, plan-independent). Scenario verdict under this plan (ILLUSTRATIVE): CONDITIONAL-WEAK. Source: this plan's liquidity match.</w:t>
            </w:r>
          </w:p>
          <w:p>
            <w:r>
              <w:t>Not applicable: 3.5 documented-unavailable.</w:t>
            </w:r>
          </w:p>
        </w:tc>
      </w:tr>
      <w:tr>
        <w:tc>
          <w:tcPr>
            <w:tcW w:type="dxa" w:w="1728"/>
          </w:tcPr>
          <w:p>
            <w:r>
              <w:t>4. Valuation (j)</w:t>
            </w:r>
          </w:p>
        </w:tc>
        <w:tc>
          <w:tcPr>
            <w:tcW w:type="dxa" w:w="7632"/>
          </w:tcPr>
          <w:p>
            <w:r>
              <w:t>Typed facts: 4.5 KPMG LLP (Big 4).</w:t>
            </w:r>
          </w:p>
          <w:p>
            <w:r>
              <w:t>4.1 Valuation policy &amp; NAV frequency (extracted-unverified): Rule 2a-5 framework: Board designated the Adviser as valuation designee (from Q4 2022); quarterly multi-step valuation process (independent valuation firms provide preliminary valuations; Adviser valuation committee determines fair value; Audit Committee oversees and reports to Board).</w:t>
            </w:r>
          </w:p>
          <w:p>
            <w:r>
              <w:t>4.2 Fair-value hierarchy (L1/2/3) (extracted-unverified): Fair value hierarchy at 12/31/2025 ($ thousands): Level 1 $0; Level 2 $4,468,669; Level 3 $30,479,543; subtotal $34,948,212; plus $970,736 measured at NAV practical expedient (OCIC SLF, Credit SLF, BOCSO, LSI Financing, Blue Owl Leasing — not categorized in the hierarchy); total investments at fair value $35,918,948.</w:t>
            </w:r>
          </w:p>
          <w:p>
            <w:r>
              <w:t>4.3 Independent valuation agent (partial): Independent third-party valuation firm(s) are engaged at the direction of the Adviser and begin the process by providing preliminary valuations of each investment without readily available quotations; the filings also note these firms are full-service financial institutions that may provide other services to the fund.</w:t>
            </w:r>
          </w:p>
          <w:p>
            <w:r>
              <w:t>4.4 Methodology by asset type (extracted-unverified): By asset type: investments with readily available market quotations valued at the average bid of those quotations (with source/count validation; broker-quote-based prices screened for Level 2 vs 3 treatment); non-quoted debt valued primarily via yield analysis using market yields for similar investments/risk profiles; equity valued via enterprise values from comparable financial performance multiples; SLF/JV and certain affiliate equity at NAV practical expedient; factors include enterprise value, collateral, earnings/cash flow, comparable public securities, and rate/credit environment; external events (transactions, offerings) used as corroboration.</w:t>
            </w:r>
          </w:p>
          <w:p>
            <w:r>
              <w:t>4.5 Auditor &amp; opinion (extracted-unverified): Auditor: KPMG LLP, New York, NY (PCAOB ID 185), auditor since 2020.</w:t>
            </w:r>
          </w:p>
          <w:p>
            <w:r>
              <w:t>4.6 NAV restatement history (extracted-unverified): No NAV restatement is disclosed in these filings.</w:t>
            </w:r>
          </w:p>
          <w:p>
            <w:r>
              <w:t>Not applicable: 4.7 documented-unavailable. 4.8 annual public NAV cadence. 4.9 documented-unavailable.</w:t>
            </w:r>
          </w:p>
        </w:tc>
      </w:tr>
      <w:tr>
        <w:tc>
          <w:tcPr>
            <w:tcW w:type="dxa" w:w="1728"/>
          </w:tcPr>
          <w:p>
            <w:r>
              <w:t>5. Performance Benchmarks (k)</w:t>
            </w:r>
          </w:p>
        </w:tc>
        <w:tc>
          <w:tcPr>
            <w:tcW w:type="dxa" w:w="7632"/>
          </w:tcPr>
          <w:p>
            <w:r>
              <w:t>Typed facts: 5.3 CDLI selected, 9/12.</w:t>
            </w:r>
          </w:p>
          <w:p>
            <w:r>
              <w:t>5.1 Self-declared benchmark (partial): No self-declared performance benchmark index appears in the FY2025 10-K or the 2025 N-2.</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2021-01-01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BDC. 6.4 Form 1099.</w:t>
            </w:r>
          </w:p>
          <w:p>
            <w:r>
              <w:t>6.1 Structure map (extracted-unverified): Maryland corporation (formed 4/22/2020); externally managed, perpetual-life, non-traded closed-end fund electing BDC status under the 1940 Act and RIC tax status.</w:t>
            </w:r>
          </w:p>
          <w:p>
            <w:r>
              <w:t>6.2 Strategy &amp; instrument complexity (extracted-unverified): Direct origination of loans to U.S. middle-market companies (EBITDA $25M-$500M and/or revenue $125M-$5B), sponsored and non-sponsored.</w:t>
            </w:r>
          </w:p>
          <w:p>
            <w:r>
              <w:t>6.3 Conflicts &amp; affiliated transactions (extracted-unverified): Dense affiliate web: (1) SEC co-investment exemptive relief — a NEW order granted May 6, 2025 superseding the prior order, permitting co-investment with Blue Owl-managed funds on same-terms/same-time conditions with required-majority Board findings; there could be significant portfolio overlap with other Blue Owl Credit Clients as a result of the Order (filings use conditional language throughout).</w:t>
            </w:r>
          </w:p>
          <w:p>
            <w:r>
              <w:t>6.4 Tax reporting (1099 vs K-1) (extracted-unverified): Form 1099, not K-1.</w:t>
            </w:r>
          </w:p>
          <w:p>
            <w:r>
              <w:t>6.5 Service-provider web (extracted-unverified): Adviser/Administrator: Blue Owl Credit Advisors LLC (affiliate).</w:t>
            </w:r>
          </w:p>
          <w:p>
            <w:r>
              <w:t>6.7 Participant communicability (partial): The filings themselves signal high communication burden: shares are 'highly illiquid,' 'may be considered speculative,' suitable only for long-term investors with no liquidity need; suitability gates apply (initial minimums $25,000 for S/D and $1 million for I; income/net-worth tests of $70,000/$70,000 or $250,000 net worth; ~19 state-specific limits mostly capping investment at 10% of liquid net worth).</w:t>
            </w:r>
          </w:p>
          <w:p>
            <w:r>
              <w:t>Not applicable: 6.6 plan-side workflow. 6.8 workflow, not data.</w:t>
            </w:r>
          </w:p>
        </w:tc>
      </w:tr>
    </w:tbl>
    <w:p>
      <w:pPr>
        <w:pStyle w:val="Heading1"/>
      </w:pPr>
      <w:r>
        <w:t>Benchmark selection and justification</w:t>
      </w:r>
    </w:p>
    <w:p>
      <w:r>
        <w:t>Return basis for every comparison in this section: filed calendar-year returns (December fiscal year).</w:t>
      </w:r>
    </w:p>
    <w:p>
      <w:pPr>
        <w:pStyle w:val="Heading2"/>
      </w:pPr>
      <w:r>
        <w:t>Meaningful benchmark (paragraph (k)): Cliffwater Direct Lending Index (CDLI) (score 9/12)</w:t>
      </w:r>
    </w:p>
    <w:p>
      <w:r>
        <w:t>Comparison not computed: cited, series not in the record: no comparison computed. The candidate is selected on its own descriptors. No number is substituted.</w:t>
      </w:r>
    </w:p>
    <w:p>
      <w:pPr>
        <w:pStyle w:val="ListBullet"/>
      </w:pPr>
      <w:r>
        <w:t>strategy_match 3/3: same asset class and sub-strategy (private credit / direct lending)</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(Cliffwater):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Reference comparison, not the meaningful benchmark: Senior loan investable proxy (BKLN, for Morningstar LSTA class)</w:t>
      </w:r>
    </w:p>
    <w:p>
      <w:r>
        <w:t>Reference comparison on the highest-ranked held public market series: not the meaningful benchmark.</w:t>
      </w:r>
    </w:p>
    <w:p>
      <w:r>
        <w:t>Window 2021-01-01 to 2025-12-31: fund 8.43%/yr (filed calendar-year returns (December fiscal year)) vs the public series 5.36%/yr, KS-PME 1.1541, Direct Alpha 2.91%/yr.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The fund declares no benchmark: cell 5.1 (partial): no self-declared benchmark index appears in the 10-K or the N-2.</w:t>
      </w:r>
    </w:p>
    <w:p>
      <w:pPr>
        <w:pStyle w:val="Heading2"/>
      </w:pPr>
      <w:r>
        <w:t>Peer comparison (paragraphs (g) and (h)): private credit cohort</w:t>
      </w:r>
    </w:p>
    <w:p>
      <w:r>
        <w:t>Peers: Cliffwater Corporate Lending Fund, Blackstone Private Credit Fund, PIMCO Flexible Credit Income Fund, CION Ares Diversified Credit Fund. This is the history of similar investments, not the benchmark, and it is never a public market equivalent.</w:t>
      </w:r>
    </w:p>
    <w:p>
      <w:r>
        <w:t>Window 2021 to 2025 (5 calendar-year period(s), n=4 peers in every period): fund 8.42%/yr (filed calendar-year returns (December fiscal year)) vs the peer composite 8.15%/yr, relative wealth ratio 1.0127, annualized excess return 0.25%/yr.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PIMCO Flexible Credit Income Fund: Yahoo adjusted close, approximates NAV total return; CION Ares Diversified Credit Fund: Yahoo adjusted close, approximates NAV total return.</w:t>
      </w:r>
    </w:p>
    <w:p>
      <w:r>
        <w:t>Two-point comparison: one contribution at the window start and one valuation at the end, on identical period boundaries. The ratio is fund growth divided by the comparator's growth over the same periods.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Blue Owl Credit Income Corp.</w:t>
            </w:r>
          </w:p>
        </w:tc>
        <w:tc>
          <w:tcPr>
            <w:tcW w:type="dxa" w:w="1337"/>
          </w:tcPr>
          <w:p>
            <w:r>
              <w:t>Cliffwater Corporate Lending Fund</w:t>
            </w:r>
          </w:p>
        </w:tc>
        <w:tc>
          <w:tcPr>
            <w:tcW w:type="dxa" w:w="1337"/>
          </w:tcPr>
          <w:p>
            <w:r>
              <w:t>Blackstone Private Credit Fund</w:t>
            </w:r>
          </w:p>
        </w:tc>
        <w:tc>
          <w:tcPr>
            <w:tcW w:type="dxa" w:w="1337"/>
          </w:tcPr>
          <w:p>
            <w:r>
              <w:t>PIMCO Flexible Credit Income Fund</w:t>
            </w:r>
          </w:p>
        </w:tc>
        <w:tc>
          <w:tcPr>
            <w:tcW w:type="dxa" w:w="1337"/>
          </w:tcPr>
          <w:p>
            <w:r>
              <w:t>CION Ares Diversified Credit Fund</w:t>
            </w:r>
          </w:p>
        </w:tc>
      </w:tr>
      <w:tr>
        <w:tc>
          <w:tcPr>
            <w:tcW w:type="dxa" w:w="1337"/>
          </w:tcPr>
          <w:p>
            <w:r>
              <w:t>2018</w:t>
            </w:r>
          </w:p>
        </w:tc>
        <w:tc>
          <w:tcPr>
            <w:tcW w:type="dxa" w:w="1337"/>
          </w:tcPr>
          <w:p>
            <w:r>
              <w:t>2</w:t>
            </w:r>
          </w:p>
        </w:tc>
        <w:tc>
          <w:tcPr>
            <w:tcW w:type="dxa" w:w="1337"/>
          </w:tcPr>
          <w:p>
            <w:r>
              <w:t>n/a</w:t>
            </w:r>
          </w:p>
        </w:tc>
        <w:tc>
          <w:tcPr>
            <w:tcW w:type="dxa" w:w="1337"/>
          </w:tcPr>
          <w:p>
            <w:r>
              <w:t>n/a</w:t>
            </w:r>
          </w:p>
        </w:tc>
        <w:tc>
          <w:tcPr>
            <w:tcW w:type="dxa" w:w="1337"/>
          </w:tcPr>
          <w:p>
            <w:r>
              <w:t>n/a</w:t>
            </w:r>
          </w:p>
        </w:tc>
        <w:tc>
          <w:tcPr>
            <w:tcW w:type="dxa" w:w="1337"/>
          </w:tcPr>
          <w:p>
            <w:r>
              <w:t>2.86%</w:t>
            </w:r>
          </w:p>
        </w:tc>
        <w:tc>
          <w:tcPr>
            <w:tcW w:type="dxa" w:w="1337"/>
          </w:tcPr>
          <w:p>
            <w:r>
              <w:t>4.45%</w:t>
            </w:r>
          </w:p>
        </w:tc>
      </w:tr>
      <w:tr>
        <w:tc>
          <w:tcPr>
            <w:tcW w:type="dxa" w:w="1337"/>
          </w:tcPr>
          <w:p>
            <w:r>
              <w:t>2019</w:t>
            </w:r>
          </w:p>
        </w:tc>
        <w:tc>
          <w:tcPr>
            <w:tcW w:type="dxa" w:w="1337"/>
          </w:tcPr>
          <w:p>
            <w:r>
              <w:t>2</w:t>
            </w:r>
          </w:p>
        </w:tc>
        <w:tc>
          <w:tcPr>
            <w:tcW w:type="dxa" w:w="1337"/>
          </w:tcPr>
          <w:p>
            <w:r>
              <w:t>n/a</w:t>
            </w:r>
          </w:p>
        </w:tc>
        <w:tc>
          <w:tcPr>
            <w:tcW w:type="dxa" w:w="1337"/>
          </w:tcPr>
          <w:p>
            <w:r>
              <w:t>n/a</w:t>
            </w:r>
          </w:p>
        </w:tc>
        <w:tc>
          <w:tcPr>
            <w:tcW w:type="dxa" w:w="1337"/>
          </w:tcPr>
          <w:p>
            <w:r>
              <w:t>n/a</w:t>
            </w:r>
          </w:p>
        </w:tc>
        <w:tc>
          <w:tcPr>
            <w:tcW w:type="dxa" w:w="1337"/>
          </w:tcPr>
          <w:p>
            <w:r>
              <w:t>10.63%</w:t>
            </w:r>
          </w:p>
        </w:tc>
        <w:tc>
          <w:tcPr>
            <w:tcW w:type="dxa" w:w="1337"/>
          </w:tcPr>
          <w:p>
            <w:r>
              <w:t>9.5%</w:t>
            </w:r>
          </w:p>
        </w:tc>
      </w:tr>
      <w:tr>
        <w:tc>
          <w:tcPr>
            <w:tcW w:type="dxa" w:w="1337"/>
          </w:tcPr>
          <w:p>
            <w:r>
              <w:t>2020</w:t>
            </w:r>
          </w:p>
        </w:tc>
        <w:tc>
          <w:tcPr>
            <w:tcW w:type="dxa" w:w="1337"/>
          </w:tcPr>
          <w:p>
            <w:r>
              <w:t>3</w:t>
            </w:r>
          </w:p>
        </w:tc>
        <w:tc>
          <w:tcPr>
            <w:tcW w:type="dxa" w:w="1337"/>
          </w:tcPr>
          <w:p>
            <w:r>
              <w:t>n/a</w:t>
            </w:r>
          </w:p>
        </w:tc>
        <w:tc>
          <w:tcPr>
            <w:tcW w:type="dxa" w:w="1337"/>
          </w:tcPr>
          <w:p>
            <w:r>
              <w:t>5.39%</w:t>
            </w:r>
          </w:p>
        </w:tc>
        <w:tc>
          <w:tcPr>
            <w:tcW w:type="dxa" w:w="1337"/>
          </w:tcPr>
          <w:p>
            <w:r>
              <w:t>n/a</w:t>
            </w:r>
          </w:p>
        </w:tc>
        <w:tc>
          <w:tcPr>
            <w:tcW w:type="dxa" w:w="1337"/>
          </w:tcPr>
          <w:p>
            <w:r>
              <w:t>4.29%</w:t>
            </w:r>
          </w:p>
        </w:tc>
        <w:tc>
          <w:tcPr>
            <w:tcW w:type="dxa" w:w="1337"/>
          </w:tcPr>
          <w:p>
            <w:r>
              <w:t>2.79%</w:t>
            </w:r>
          </w:p>
        </w:tc>
      </w:tr>
      <w:tr>
        <w:tc>
          <w:tcPr>
            <w:tcW w:type="dxa" w:w="1337"/>
          </w:tcPr>
          <w:p>
            <w:r>
              <w:t>2021</w:t>
            </w:r>
          </w:p>
        </w:tc>
        <w:tc>
          <w:tcPr>
            <w:tcW w:type="dxa" w:w="1337"/>
          </w:tcPr>
          <w:p>
            <w:r>
              <w:t>5</w:t>
            </w:r>
          </w:p>
        </w:tc>
        <w:tc>
          <w:tcPr>
            <w:tcW w:type="dxa" w:w="1337"/>
          </w:tcPr>
          <w:p>
            <w:r>
              <w:t>4.3%</w:t>
            </w:r>
          </w:p>
        </w:tc>
        <w:tc>
          <w:tcPr>
            <w:tcW w:type="dxa" w:w="1337"/>
          </w:tcPr>
          <w:p>
            <w:r>
              <w:t>10.38%</w:t>
            </w:r>
          </w:p>
        </w:tc>
        <w:tc>
          <w:tcPr>
            <w:tcW w:type="dxa" w:w="1337"/>
          </w:tcPr>
          <w:p>
            <w:r>
              <w:t>12.6%</w:t>
            </w:r>
          </w:p>
        </w:tc>
        <w:tc>
          <w:tcPr>
            <w:tcW w:type="dxa" w:w="1337"/>
          </w:tcPr>
          <w:p>
            <w:r>
              <w:t>11.29%</w:t>
            </w:r>
          </w:p>
        </w:tc>
        <w:tc>
          <w:tcPr>
            <w:tcW w:type="dxa" w:w="1337"/>
          </w:tcPr>
          <w:p>
            <w:r>
              <w:t>9.21%</w:t>
            </w:r>
          </w:p>
        </w:tc>
      </w:tr>
      <w:tr>
        <w:tc>
          <w:tcPr>
            <w:tcW w:type="dxa" w:w="1337"/>
          </w:tcPr>
          <w:p>
            <w:r>
              <w:t>2022</w:t>
            </w:r>
          </w:p>
        </w:tc>
        <w:tc>
          <w:tcPr>
            <w:tcW w:type="dxa" w:w="1337"/>
          </w:tcPr>
          <w:p>
            <w:r>
              <w:t>5</w:t>
            </w:r>
          </w:p>
        </w:tc>
        <w:tc>
          <w:tcPr>
            <w:tcW w:type="dxa" w:w="1337"/>
          </w:tcPr>
          <w:p>
            <w:r>
              <w:t>5.2%</w:t>
            </w:r>
          </w:p>
        </w:tc>
        <w:tc>
          <w:tcPr>
            <w:tcW w:type="dxa" w:w="1337"/>
          </w:tcPr>
          <w:p>
            <w:r>
              <w:t>2.05%</w:t>
            </w:r>
          </w:p>
        </w:tc>
        <w:tc>
          <w:tcPr>
            <w:tcW w:type="dxa" w:w="1337"/>
          </w:tcPr>
          <w:p>
            <w:r>
              <w:t>3.6%</w:t>
            </w:r>
          </w:p>
        </w:tc>
        <w:tc>
          <w:tcPr>
            <w:tcW w:type="dxa" w:w="1337"/>
          </w:tcPr>
          <w:p>
            <w:r>
              <w:t>-15.36%</w:t>
            </w:r>
          </w:p>
        </w:tc>
        <w:tc>
          <w:tcPr>
            <w:tcW w:type="dxa" w:w="1337"/>
          </w:tcPr>
          <w:p>
            <w:r>
              <w:t>-2.85%</w:t>
            </w:r>
          </w:p>
        </w:tc>
      </w:tr>
      <w:tr>
        <w:tc>
          <w:tcPr>
            <w:tcW w:type="dxa" w:w="1337"/>
          </w:tcPr>
          <w:p>
            <w:r>
              <w:t>2023</w:t>
            </w:r>
          </w:p>
        </w:tc>
        <w:tc>
          <w:tcPr>
            <w:tcW w:type="dxa" w:w="1337"/>
          </w:tcPr>
          <w:p>
            <w:r>
              <w:t>5</w:t>
            </w:r>
          </w:p>
        </w:tc>
        <w:tc>
          <w:tcPr>
            <w:tcW w:type="dxa" w:w="1337"/>
          </w:tcPr>
          <w:p>
            <w:r>
              <w:t>13.5%</w:t>
            </w:r>
          </w:p>
        </w:tc>
        <w:tc>
          <w:tcPr>
            <w:tcW w:type="dxa" w:w="1337"/>
          </w:tcPr>
          <w:p>
            <w:r>
              <w:t>12.66%</w:t>
            </w:r>
          </w:p>
        </w:tc>
        <w:tc>
          <w:tcPr>
            <w:tcW w:type="dxa" w:w="1337"/>
          </w:tcPr>
          <w:p>
            <w:r>
              <w:t>14.4%</w:t>
            </w:r>
          </w:p>
        </w:tc>
        <w:tc>
          <w:tcPr>
            <w:tcW w:type="dxa" w:w="1337"/>
          </w:tcPr>
          <w:p>
            <w:r>
              <w:t>9.25%</w:t>
            </w:r>
          </w:p>
        </w:tc>
        <w:tc>
          <w:tcPr>
            <w:tcW w:type="dxa" w:w="1337"/>
          </w:tcPr>
          <w:p>
            <w:r>
              <w:t>12.99%</w:t>
            </w:r>
          </w:p>
        </w:tc>
      </w:tr>
      <w:tr>
        <w:tc>
          <w:tcPr>
            <w:tcW w:type="dxa" w:w="1337"/>
          </w:tcPr>
          <w:p>
            <w:r>
              <w:t>2024</w:t>
            </w:r>
          </w:p>
        </w:tc>
        <w:tc>
          <w:tcPr>
            <w:tcW w:type="dxa" w:w="1337"/>
          </w:tcPr>
          <w:p>
            <w:r>
              <w:t>5</w:t>
            </w:r>
          </w:p>
        </w:tc>
        <w:tc>
          <w:tcPr>
            <w:tcW w:type="dxa" w:w="1337"/>
          </w:tcPr>
          <w:p>
            <w:r>
              <w:t>11.5%</w:t>
            </w:r>
          </w:p>
        </w:tc>
        <w:tc>
          <w:tcPr>
            <w:tcW w:type="dxa" w:w="1337"/>
          </w:tcPr>
          <w:p>
            <w:r>
              <w:t>12.62%</w:t>
            </w:r>
          </w:p>
        </w:tc>
        <w:tc>
          <w:tcPr>
            <w:tcW w:type="dxa" w:w="1337"/>
          </w:tcPr>
          <w:p>
            <w:r>
              <w:t>11%</w:t>
            </w:r>
          </w:p>
        </w:tc>
        <w:tc>
          <w:tcPr>
            <w:tcW w:type="dxa" w:w="1337"/>
          </w:tcPr>
          <w:p>
            <w:r>
              <w:t>15.27%</w:t>
            </w:r>
          </w:p>
        </w:tc>
        <w:tc>
          <w:tcPr>
            <w:tcW w:type="dxa" w:w="1337"/>
          </w:tcPr>
          <w:p>
            <w:r>
              <w:t>10.39%</w:t>
            </w:r>
          </w:p>
        </w:tc>
      </w:tr>
      <w:tr>
        <w:tc>
          <w:tcPr>
            <w:tcW w:type="dxa" w:w="1337"/>
          </w:tcPr>
          <w:p>
            <w:r>
              <w:t>2025</w:t>
            </w:r>
          </w:p>
        </w:tc>
        <w:tc>
          <w:tcPr>
            <w:tcW w:type="dxa" w:w="1337"/>
          </w:tcPr>
          <w:p>
            <w:r>
              <w:t>5</w:t>
            </w:r>
          </w:p>
        </w:tc>
        <w:tc>
          <w:tcPr>
            <w:tcW w:type="dxa" w:w="1337"/>
          </w:tcPr>
          <w:p>
            <w:r>
              <w:t>7.9%</w:t>
            </w:r>
          </w:p>
        </w:tc>
        <w:tc>
          <w:tcPr>
            <w:tcW w:type="dxa" w:w="1337"/>
          </w:tcPr>
          <w:p>
            <w:r>
              <w:t>8.92%</w:t>
            </w:r>
          </w:p>
        </w:tc>
        <w:tc>
          <w:tcPr>
            <w:tcW w:type="dxa" w:w="1337"/>
          </w:tcPr>
          <w:p>
            <w:r>
              <w:t>8%</w:t>
            </w:r>
          </w:p>
        </w:tc>
        <w:tc>
          <w:tcPr>
            <w:tcW w:type="dxa" w:w="1337"/>
          </w:tcPr>
          <w:p>
            <w:r>
              <w:t>12.2%</w:t>
            </w:r>
          </w:p>
        </w:tc>
        <w:tc>
          <w:tcPr>
            <w:tcW w:type="dxa" w:w="1337"/>
          </w:tcPr>
          <w:p>
            <w:r>
              <w:t>7.69%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Senior loan investable proxy (BKLN, for Morningstar LSTA class)</w:t>
            </w:r>
          </w:p>
        </w:tc>
        <w:tc>
          <w:tcPr>
            <w:tcW w:type="dxa" w:w="1008"/>
          </w:tcPr>
          <w:p>
            <w:r>
              <w:t>8/12</w:t>
            </w:r>
          </w:p>
        </w:tc>
        <w:tc>
          <w:tcPr>
            <w:tcW w:type="dxa" w:w="5472"/>
          </w:tcPr>
          <w:p>
            <w:r>
              <w:t>ranked below the selected candidate: 8/12 vs 9/12 for CDLI Criteria: strategy_match 2/3: the public-market version of the asset class (syndicated loans for direct lending),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Morningstar LSTA class):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Credit Suisse Leveraged Loan Index (CSLLI)</w:t>
            </w:r>
          </w:p>
        </w:tc>
        <w:tc>
          <w:tcPr>
            <w:tcW w:type="dxa" w:w="1008"/>
          </w:tcPr>
          <w:p>
            <w:r>
              <w:t>6/12</w:t>
            </w:r>
          </w:p>
        </w:tc>
        <w:tc>
          <w:tcPr>
            <w:tcW w:type="dxa" w:w="5472"/>
          </w:tcPr>
          <w:p>
            <w:r>
              <w:t>score 6/12 below the threshold 7/12 Criteria: strategy_match 2/3: the public-market version of the asset class (leveraged loans for direct lending),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(Credit Suisse (UBS)):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Morningstar LSTA US Leveraged Loan Index</w:t>
            </w:r>
          </w:p>
        </w:tc>
        <w:tc>
          <w:tcPr>
            <w:tcW w:type="dxa" w:w="1008"/>
          </w:tcPr>
          <w:p>
            <w:r>
              <w:t>6/12</w:t>
            </w:r>
          </w:p>
        </w:tc>
        <w:tc>
          <w:tcPr>
            <w:tcW w:type="dxa" w:w="5472"/>
          </w:tcPr>
          <w:p>
            <w:r>
              <w:t>score 6/12 below the threshold 7/12 Criteria: strategy_match 2/3: the public-market version of the asset class (syndicated loans for direct lending),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(Morningstar / LSTA):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bl>
    <w:p>
      <w:pPr>
        <w:pStyle w:val="Heading1"/>
      </w:pPr>
      <w:r>
        <w:t>Product-to-plan liquidity match</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(12 consecutive quarterly tenders completed FY2023-FY2025 with no disclosed suspension, BUT tendered-vs-repurchased counts are never disclosed - proration cannot be ruled out from public filings, so a clean False would overclaim).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12 consecutive quarterly tenders completed FY2023-FY2025 with no disclosed suspension, BUT tendered-vs-repurchased counts are never disclosed - proration cannot be ruled out from public filings, so a clean False would overclaim</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$19.8B</w:t>
            </w:r>
          </w:p>
        </w:tc>
        <w:tc>
          <w:tcPr>
            <w:tcW w:type="dxa" w:w="1152"/>
          </w:tcPr>
          <w:p>
            <w:r>
              <w:t>3.6</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$4.0B per year (20% of approx. $19.8B net assets, cell 3.6). The plan's demand at the filed rate is $3.3M per year, 0.08% of that capacity, a claim shared with every other holder.</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Fund capacity in dollars: 20% of approx. $19.8B net assets (cell 3.6) is $4.0B per year. At a 5% allocation ($28.3M) the plan's demand at the filed rate is $3.3M per year, 0.08%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plan_tech_media.json (Form 5500, plan year 2024-01-01 to 2024-12-31).</w:t>
      </w:r>
    </w:p>
    <w:p>
      <w:pPr>
        <w:pStyle w:val="Heading1"/>
      </w:pPr>
      <w:r>
        <w:t>Peer cohort placement</w:t>
      </w:r>
    </w:p>
    <w:p>
      <w:r>
        <w:t>Evidence depth tier: COHORT. Cohort: Private credit (interval fund + non-traded BDC) (n=5). Membership rationale: Perpetual non-traded BDC running quarterly 13e-4 tenders, bcred's closest structural twin. Admitted via the census promotion pipeline (46 SC TO-I filings as T1 cadence evidence, Owl Rock -&gt; Blue Owl rename verified in the SEC record).</w:t>
      </w:r>
    </w:p>
    <w:p>
      <w:r>
        <w:t>Cohort placement (private credit cohort): mgmt fee: 50th percentile of cohort (n=5), at the median of 1.25 | expense ratio (bases differ, see notes): 90th percentile of cohort (n=5), above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media/technology company 401(k) plan (~$570M, New York) (ILLUSTRATIVE): CONDITIONAL-WEAK.</w:t>
      </w:r>
    </w:p>
    <w:p>
      <w:r>
        <w:t>Meaningful benchmark (paragraph (k)): Cliffwater Direct Lending Index (CDLI) at 9/12, cited, series not in the record. Peer comparison (paragraphs (g) and (h)): relative wealth ratio 1.0127 vs the equal-weight peer composite over 2021 to 2025 (n=4), not a benchmark and not a PME.</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Liquidity: structural verdict partial, facts missing: gate_history (cells 3.1, 3.3)</w:t>
      </w:r>
    </w:p>
    <w:p>
      <w:pPr>
        <w:pStyle w:val="ListBullet"/>
      </w:pPr>
      <w:r>
        <w:t>Liquidity: ILLUSTRATIVE scenario verdict conditional-weak under this plan (the filed outflow proxy or the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10, partial 9, fetched 1, n/a 9, pending 0. 46 of 46 resolvable, 0 verified, 9 n/a by wrapper.</w:t>
      </w:r>
    </w:p>
    <w:p>
      <w:r>
        <w:t>Of the 45 evidenced cells, 45 carry a source document, 45 a section, 35 a verbatim quote (computed cells carry their computation and inputs instead of a quote) and 45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10-K FY2025 (FYE 2025-12-31), filed 2026-03-03, CIK 1812554</w:t>
            </w:r>
          </w:p>
        </w:tc>
        <w:tc>
          <w:tcPr>
            <w:tcW w:type="dxa" w:w="5184"/>
          </w:tcPr>
          <w:p>
            <w:r>
              <w:t>10-K 2026-03-03 accession 0001812554-26-000011 https://www.sec.gov/Archives/edgar/data/1812554/000181255426000011/orcic-20251231.htm</w:t>
            </w:r>
          </w:p>
        </w:tc>
      </w:tr>
      <w:tr>
        <w:tc>
          <w:tcPr>
            <w:tcW w:type="dxa" w:w="720"/>
          </w:tcPr>
          <w:p>
            <w:r>
              <w:t>1.2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1.8</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1.9</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1.11</w:t>
            </w:r>
          </w:p>
        </w:tc>
        <w:tc>
          <w:tcPr>
            <w:tcW w:type="dxa" w:w="3456"/>
          </w:tcPr>
          <w:p>
            <w:r>
              <w:t>N-2 registration statement, filed 2025-04-15, CIK 1812554 (rename); 10-K FY2025, filed 2026-03-03 (formation, ops, AUM)</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w:t>
            </w:r>
          </w:p>
        </w:tc>
      </w:tr>
      <w:tr>
        <w:tc>
          <w:tcPr>
            <w:tcW w:type="dxa" w:w="720"/>
          </w:tcPr>
          <w:p>
            <w:r>
              <w:t>1.12</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2.1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2.3</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2.4</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2.6</w:t>
            </w:r>
          </w:p>
        </w:tc>
        <w:tc>
          <w:tcPr>
            <w:tcW w:type="dxa" w:w="3456"/>
          </w:tcPr>
          <w:p>
            <w:r>
              <w:t>10-K FY2025, filed 2026-03-03, CIK 1812554 (Note 3); N-2 filed 2025-04-15 (fee table)</w:t>
            </w:r>
          </w:p>
        </w:tc>
        <w:tc>
          <w:tcPr>
            <w:tcW w:type="dxa" w:w="5184"/>
          </w:tcPr>
          <w:p>
            <w:r>
              <w:t>10-K 2026-03-03 accession 0001812554-26-000011 https://www.sec.gov/Archives/edgar/data/1812554/000181255426000011/orcic-20251231.htm</w:t>
            </w:r>
          </w:p>
          <w:p>
            <w:r>
              <w:t>N-2 2025-04-15 accession 0001628280-25-017887 https://www.sec.gov/Archives/edgar/data/1812554/000162828025017887/ck0001812554-20250415.htm</w:t>
            </w:r>
          </w:p>
        </w:tc>
      </w:tr>
      <w:tr>
        <w:tc>
          <w:tcPr>
            <w:tcW w:type="dxa" w:w="720"/>
          </w:tcPr>
          <w:p>
            <w:r>
              <w:t>2.7</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2.10</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3.2</w:t>
            </w:r>
          </w:p>
        </w:tc>
        <w:tc>
          <w:tcPr>
            <w:tcW w:type="dxa" w:w="3456"/>
          </w:tcPr>
          <w:p>
            <w:r>
              <w:t>SC TO-I, filed 2026-05-26, CIK 1812554 (with 10-K FY2025 program terms)</w:t>
            </w:r>
          </w:p>
        </w:tc>
        <w:tc>
          <w:tcPr>
            <w:tcW w:type="dxa" w:w="5184"/>
          </w:tcPr>
          <w:p>
            <w:r>
              <w:t>SC TO-I 2026-05-26 accession 0001628280-26-038223 https://www.sec.gov/Archives/edgar/data/1812554/000162828026038223/blueowlcreditincomecorp-sc.htm</w:t>
            </w:r>
          </w:p>
          <w:p>
            <w:r>
              <w:t>10-K 2026-03-03 accession 0001812554-26-000011 https://www.sec.gov/Archives/edgar/data/1812554/000181255426000011/orcic-20251231.htm (matched by form only: the single such filing held)</w:t>
            </w:r>
          </w:p>
        </w:tc>
      </w:tr>
      <w:tr>
        <w:tc>
          <w:tcPr>
            <w:tcW w:type="dxa" w:w="720"/>
          </w:tcPr>
          <w:p>
            <w:r>
              <w:t>3.3</w:t>
            </w:r>
          </w:p>
        </w:tc>
        <w:tc>
          <w:tcPr>
            <w:tcW w:type="dxa" w:w="3456"/>
          </w:tcPr>
          <w:p>
            <w:r>
              <w:t>10-K FY2025, filed 2026-03-03, CIK 1812554 (Note 9 repurchase table); SC TO-I filed 2026-05-26</w:t>
            </w:r>
          </w:p>
        </w:tc>
        <w:tc>
          <w:tcPr>
            <w:tcW w:type="dxa" w:w="5184"/>
          </w:tcPr>
          <w:p>
            <w:r>
              <w:t>10-K 2026-03-03 accession 0001812554-26-000011 https://www.sec.gov/Archives/edgar/data/1812554/000181255426000011/orcic-20251231.htm</w:t>
            </w:r>
          </w:p>
          <w:p>
            <w:r>
              <w:t>SC TO-I 2026-05-26 accession 0001628280-26-038223 https://www.sec.gov/Archives/edgar/data/1812554/000162828026038223/blueowlcreditincomecorp-sc.htm</w:t>
            </w:r>
          </w:p>
        </w:tc>
      </w:tr>
      <w:tr>
        <w:tc>
          <w:tcPr>
            <w:tcW w:type="dxa" w:w="720"/>
          </w:tcPr>
          <w:p>
            <w:r>
              <w:t>3.4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(Blue Owl Credit Income Corp.,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(Blue Owl Credit Income Corp., four reference plans)</w:t>
            </w:r>
          </w:p>
        </w:tc>
        <w:tc>
          <w:tcPr>
            <w:tcW w:type="dxa" w:w="5184"/>
          </w:tcPr>
          <w:p>
            <w:r>
              <w:t>accession not on record: no filing reference in the source field</w:t>
            </w:r>
          </w:p>
        </w:tc>
      </w:tr>
      <w:tr>
        <w:tc>
          <w:tcPr>
            <w:tcW w:type="dxa" w:w="720"/>
          </w:tcPr>
          <w:p>
            <w:r>
              <w:t>4.1</w:t>
            </w:r>
          </w:p>
        </w:tc>
        <w:tc>
          <w:tcPr>
            <w:tcW w:type="dxa" w:w="3456"/>
          </w:tcPr>
          <w:p>
            <w:r>
              <w:t>N-2 registration statement, filed 2025-04-15, CIK 1812554 (with 10-K Note 2)</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 (matched by form only: the single such filing held)</w:t>
            </w:r>
          </w:p>
        </w:tc>
      </w:tr>
      <w:tr>
        <w:tc>
          <w:tcPr>
            <w:tcW w:type="dxa" w:w="720"/>
          </w:tcPr>
          <w:p>
            <w:r>
              <w:t>4.2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5.1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5.3</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5.6</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SC TO-I, filed 2026-05-26, CIK 1812554 (with 10-K FY2025 Item 1)</w:t>
            </w:r>
          </w:p>
        </w:tc>
        <w:tc>
          <w:tcPr>
            <w:tcW w:type="dxa" w:w="5184"/>
          </w:tcPr>
          <w:p>
            <w:r>
              <w:t>SC TO-I 2026-05-26 accession 0001628280-26-038223 https://www.sec.gov/Archives/edgar/data/1812554/000162828026038223/blueowlcreditincomecorp-sc.htm</w:t>
            </w:r>
          </w:p>
          <w:p>
            <w:r>
              <w:t>10-K 2026-03-03 accession 0001812554-26-000011 https://www.sec.gov/Archives/edgar/data/1812554/000181255426000011/orcic-20251231.htm (matched by form only: the single such filing held)</w:t>
            </w:r>
          </w:p>
        </w:tc>
      </w:tr>
      <w:tr>
        <w:tc>
          <w:tcPr>
            <w:tcW w:type="dxa" w:w="720"/>
          </w:tcPr>
          <w:p>
            <w:r>
              <w:t>6.2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6.3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6.4</w:t>
            </w:r>
          </w:p>
        </w:tc>
        <w:tc>
          <w:tcPr>
            <w:tcW w:type="dxa" w:w="3456"/>
          </w:tcPr>
          <w:p>
            <w:r>
              <w:t>N-2 registration statement, filed 2025-04-15, CIK 1812554 (tax reporting); 10-K FY2025 (RIC status, tax character)</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 (matched by form only: the single such filing held)</w:t>
            </w:r>
          </w:p>
        </w:tc>
      </w:tr>
      <w:tr>
        <w:tc>
          <w:tcPr>
            <w:tcW w:type="dxa" w:w="720"/>
          </w:tcPr>
          <w:p>
            <w:r>
              <w:t>6.5</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6.7</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bl>
    <w:p>
      <w:r>
        <w:t>Data sources: SEC EDGAR filings (3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