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Committee packet</w:t>
      </w:r>
    </w:p>
    <w:p>
      <w:r>
        <w:rPr>
          <w:b/>
        </w:rPr>
        <w:t>Plan: US media/technology company 401(k) plan (~$570M, New York)</w:t>
        <w:br/>
      </w:r>
      <w:r>
        <w:t>Product: PIMCO Flexible Credit Income Fund (TRUE interval fund (Rule 23c-3), flexible credit, CIK 1688554)</w:t>
        <w:br/>
      </w:r>
      <w:r>
        <w:t>Record as of 2026-09-04. DRAFT, generated by the build from the record. The decision memo for the same plan and product is a separate document.</w:t>
      </w:r>
    </w:p>
    <w:p>
      <w:pPr>
        <w:pStyle w:val="Heading1"/>
      </w:pPr>
      <w:r>
        <w:t>Summary</w:t>
      </w:r>
    </w:p>
    <w:p>
      <w:r>
        <w:t>Structural liquidity verdict: CONDITIONAL (typed facts, plan-independent). Scenario verdict under this plan (ILLUSTRATIVE, default sliders): CONDITIONAL-WEAK.</w:t>
      </w:r>
    </w:p>
    <w:p>
      <w:r>
        <w:t>Meaningful benchmark (paragraph (k)): Cliffwater Direct Lending Index (CDLI) at 8/12, no comparison computed (cited, series not in the record: no comparison computed).</w:t>
      </w:r>
    </w:p>
    <w:p>
      <w:r>
        <w:t>Reference comparison, not the meaningful benchmark: Senior loan investable proxy (BKLN, for Morningstar LSTA class), KS-PME 1.1089, Direct Alpha 1.3%/yr over 2018-07-18 to 2026-07-17.</w:t>
      </w:r>
    </w:p>
    <w:p>
      <w:r>
        <w:t>Peer comparison (paragraphs (g) and (h)): relative wealth ratio 0.8757, annualized excess return -2.62%/yr (not a public market equivalent) vs the peer composite over 2021 to 2025 (n=4), not a benchmark.</w:t>
      </w:r>
    </w:p>
    <w:p>
      <w:r>
        <w:t>Flags raised by the record (each restates a typed value or verdict, with its source):</w:t>
      </w:r>
    </w:p>
    <w:p>
      <w:pPr>
        <w:pStyle w:val="ListBullet"/>
      </w:pPr>
      <w:r>
        <w:t>Benchmark: the meaningful benchmark carries no computed comparison (cited, series not in the record: no comparison computed) (benchmark selection)</w:t>
      </w:r>
    </w:p>
    <w:p>
      <w:pPr>
        <w:pStyle w:val="ListBullet"/>
      </w:pPr>
      <w:r>
        <w:t>Liquidity: ILLUSTRATIVE scenario verdict conditional-weak under this plan (the filed outflow proxy or the stressed demand above wrapper capacity)</w:t>
      </w:r>
    </w:p>
    <w:p>
      <w:r>
        <w:t>Evidence coverage: 44 of 44 resolvable, 0 verified, 11 n/a by wrapper. Verified by a person: 0. Advisor-stated inputs for this plan: 0 of 6.</w:t>
      </w:r>
    </w:p>
    <w:p>
      <w:r>
        <w:t>The committee makes the decision on this record. This packet does not decide.</w:t>
      </w:r>
    </w:p>
    <w:p>
      <w:pPr>
        <w:pStyle w:val="Heading1"/>
      </w:pPr>
      <w:r>
        <w:t>Exhibit A. Benchmark selection and rejection ledger</w:t>
      </w:r>
    </w:p>
    <w:p>
      <w:r>
        <w:t>Tark benchmark rubric, 12 points, threshold 7 of 12, strategy gate, affiliated providers ineligible. Max attainable by an eligible candidate on held data 8/12.</w:t>
      </w:r>
    </w:p>
    <w:tbl>
      <w:tblPr>
        <w:tblStyle w:val="TableGrid"/>
        <w:tblW w:type="auto" w:w="0"/>
        <w:tblLook w:firstColumn="1" w:firstRow="1" w:lastColumn="0" w:lastRow="0" w:noHBand="0" w:noVBand="1" w:val="04A0"/>
      </w:tblPr>
      <w:tblGrid>
        <w:gridCol w:w="2340"/>
        <w:gridCol w:w="2340"/>
        <w:gridCol w:w="2340"/>
        <w:gridCol w:w="2340"/>
      </w:tblGrid>
      <w:tr>
        <w:tc>
          <w:tcPr>
            <w:tcW w:type="dxa" w:w="1152"/>
          </w:tcPr>
          <w:p>
            <w:r>
              <w:t>Slot</w:t>
            </w:r>
          </w:p>
        </w:tc>
        <w:tc>
          <w:tcPr>
            <w:tcW w:type="dxa" w:w="3456"/>
          </w:tcPr>
          <w:p>
            <w:r>
              <w:t>Candidate</w:t>
            </w:r>
          </w:p>
        </w:tc>
        <w:tc>
          <w:tcPr>
            <w:tcW w:type="dxa" w:w="864"/>
          </w:tcPr>
          <w:p>
            <w:r>
              <w:t>Score</w:t>
            </w:r>
          </w:p>
        </w:tc>
        <w:tc>
          <w:tcPr>
            <w:tcW w:type="dxa" w:w="3888"/>
          </w:tcPr>
          <w:p>
            <w:r>
              <w:t>Outcome</w:t>
            </w:r>
          </w:p>
        </w:tc>
      </w:tr>
      <w:tr>
        <w:tc>
          <w:tcPr>
            <w:tcW w:type="dxa" w:w="1152"/>
          </w:tcPr>
          <w:p>
            <w:r>
              <w:t>Meaningful benchmark (paragraph (k))</w:t>
            </w:r>
          </w:p>
        </w:tc>
        <w:tc>
          <w:tcPr>
            <w:tcW w:type="dxa" w:w="3456"/>
          </w:tcPr>
          <w:p>
            <w:r>
              <w:t>Cliffwater Direct Lending Index (CDLI)</w:t>
            </w:r>
          </w:p>
        </w:tc>
        <w:tc>
          <w:tcPr>
            <w:tcW w:type="dxa" w:w="864"/>
          </w:tcPr>
          <w:p>
            <w:r>
              <w:t>8/12</w:t>
            </w:r>
          </w:p>
        </w:tc>
        <w:tc>
          <w:tcPr>
            <w:tcW w:type="dxa" w:w="3888"/>
          </w:tcPr>
          <w:p>
            <w:r>
              <w:t>selected, no comparison computed: cited, series not in the record: no comparison computed</w:t>
            </w:r>
          </w:p>
        </w:tc>
      </w:tr>
      <w:tr>
        <w:tc>
          <w:tcPr>
            <w:tcW w:type="dxa" w:w="1152"/>
          </w:tcPr>
          <w:p>
            <w:r>
              <w:t>reference, not the benchmark</w:t>
            </w:r>
          </w:p>
        </w:tc>
        <w:tc>
          <w:tcPr>
            <w:tcW w:type="dxa" w:w="3456"/>
          </w:tcPr>
          <w:p>
            <w:r>
              <w:t>Senior loan investable proxy (BKLN, for Morningstar LSTA class)</w:t>
            </w:r>
          </w:p>
        </w:tc>
        <w:tc>
          <w:tcPr>
            <w:tcW w:type="dxa" w:w="864"/>
          </w:tcPr>
          <w:p>
            <w:r>
              <w:t>8/12</w:t>
            </w:r>
          </w:p>
        </w:tc>
        <w:tc>
          <w:tcPr>
            <w:tcW w:type="dxa" w:w="3888"/>
          </w:tcPr>
          <w:p>
            <w:r>
              <w:t>KS-PME 1.1089, Direct Alpha 1.3%/yr, 2018-07-18 to 2026-07-17</w:t>
            </w:r>
          </w:p>
        </w:tc>
      </w:tr>
      <w:tr>
        <w:tc>
          <w:tcPr>
            <w:tcW w:type="dxa" w:w="1152"/>
          </w:tcPr>
          <w:p>
            <w:r>
              <w:t>SEC-required comparator</w:t>
            </w:r>
          </w:p>
        </w:tc>
        <w:tc>
          <w:tcPr>
            <w:tcW w:type="dxa" w:w="3456"/>
          </w:tcPr>
          <w:p>
            <w:r>
              <w:t>ICE BofA US High Yield Index</w:t>
            </w:r>
          </w:p>
        </w:tc>
        <w:tc>
          <w:tcPr>
            <w:tcW w:type="dxa" w:w="864"/>
          </w:tcPr>
          <w:p>
            <w:r/>
          </w:p>
        </w:tc>
        <w:tc>
          <w:tcPr>
            <w:tcW w:type="dxa" w:w="3888"/>
          </w:tcPr>
          <w:p>
            <w:r>
              <w:t>cited, not held, scored 6/12, below the threshold</w:t>
            </w:r>
          </w:p>
        </w:tc>
      </w:tr>
      <w:tr>
        <w:tc>
          <w:tcPr>
            <w:tcW w:type="dxa" w:w="1152"/>
          </w:tcPr>
          <w:p>
            <w:r>
              <w:t>Peer comparison (paragraphs (g) and (h))</w:t>
            </w:r>
          </w:p>
        </w:tc>
        <w:tc>
          <w:tcPr>
            <w:tcW w:type="dxa" w:w="3456"/>
          </w:tcPr>
          <w:p>
            <w:r>
              <w:t>Peer composite, private credit cohort without PIMCO Flexible Credit Income Fund</w:t>
            </w:r>
          </w:p>
        </w:tc>
        <w:tc>
          <w:tcPr>
            <w:tcW w:type="dxa" w:w="864"/>
          </w:tcPr>
          <w:p>
            <w:r>
              <w:t>not scored</w:t>
            </w:r>
          </w:p>
        </w:tc>
        <w:tc>
          <w:tcPr>
            <w:tcW w:type="dxa" w:w="3888"/>
          </w:tcPr>
          <w:p>
            <w:r>
              <w:t>relative wealth ratio 0.8757, annualized excess return -2.62%/yr (not a public market equivalent), 2021 to 2025 (n=4)</w:t>
            </w:r>
          </w:p>
        </w:tc>
      </w:tr>
      <w:tr>
        <w:tc>
          <w:tcPr>
            <w:tcW w:type="dxa" w:w="1152"/>
          </w:tcPr>
          <w:p>
            <w:r>
              <w:t>rejected</w:t>
            </w:r>
          </w:p>
        </w:tc>
        <w:tc>
          <w:tcPr>
            <w:tcW w:type="dxa" w:w="3456"/>
          </w:tcPr>
          <w:p>
            <w:r>
              <w:t>Senior loan investable proxy (BKLN, for Morningstar LSTA class)</w:t>
            </w:r>
          </w:p>
        </w:tc>
        <w:tc>
          <w:tcPr>
            <w:tcW w:type="dxa" w:w="864"/>
          </w:tcPr>
          <w:p>
            <w:r>
              <w:t>8/12</w:t>
            </w:r>
          </w:p>
        </w:tc>
        <w:tc>
          <w:tcPr>
            <w:tcW w:type="dxa" w:w="3888"/>
          </w:tcPr>
          <w:p>
            <w:r>
              <w:t>tied: tied on score, ordered by strategy_match, then risk_liquidity_match, then data held, then alphabetical (score 8/12, selected CDLI)</w:t>
            </w:r>
          </w:p>
        </w:tc>
      </w:tr>
      <w:tr>
        <w:tc>
          <w:tcPr>
            <w:tcW w:type="dxa" w:w="1152"/>
          </w:tcPr>
          <w:p>
            <w:r>
              <w:t>rejected</w:t>
            </w:r>
          </w:p>
        </w:tc>
        <w:tc>
          <w:tcPr>
            <w:tcW w:type="dxa" w:w="3456"/>
          </w:tcPr>
          <w:p>
            <w:r>
              <w:t>Credit Suisse Leveraged Loan Index (CSLLI)</w:t>
            </w:r>
          </w:p>
        </w:tc>
        <w:tc>
          <w:tcPr>
            <w:tcW w:type="dxa" w:w="864"/>
          </w:tcPr>
          <w:p>
            <w:r>
              <w:t>6/12</w:t>
            </w:r>
          </w:p>
        </w:tc>
        <w:tc>
          <w:tcPr>
            <w:tcW w:type="dxa" w:w="3888"/>
          </w:tcPr>
          <w:p>
            <w:r>
              <w:t>score 6/12 below the threshold 7/12</w:t>
            </w:r>
          </w:p>
        </w:tc>
      </w:tr>
      <w:tr>
        <w:tc>
          <w:tcPr>
            <w:tcW w:type="dxa" w:w="1152"/>
          </w:tcPr>
          <w:p>
            <w:r>
              <w:t>rejected</w:t>
            </w:r>
          </w:p>
        </w:tc>
        <w:tc>
          <w:tcPr>
            <w:tcW w:type="dxa" w:w="3456"/>
          </w:tcPr>
          <w:p>
            <w:r>
              <w:t>ICE BofA US High Yield Index</w:t>
            </w:r>
          </w:p>
        </w:tc>
        <w:tc>
          <w:tcPr>
            <w:tcW w:type="dxa" w:w="864"/>
          </w:tcPr>
          <w:p>
            <w:r>
              <w:t>6/12</w:t>
            </w:r>
          </w:p>
        </w:tc>
        <w:tc>
          <w:tcPr>
            <w:tcW w:type="dxa" w:w="3888"/>
          </w:tcPr>
          <w:p>
            <w:r>
              <w:t>score 6/12 below the threshold 7/12</w:t>
            </w:r>
          </w:p>
        </w:tc>
      </w:tr>
      <w:tr>
        <w:tc>
          <w:tcPr>
            <w:tcW w:type="dxa" w:w="1152"/>
          </w:tcPr>
          <w:p>
            <w:r>
              <w:t>rejected</w:t>
            </w:r>
          </w:p>
        </w:tc>
        <w:tc>
          <w:tcPr>
            <w:tcW w:type="dxa" w:w="3456"/>
          </w:tcPr>
          <w:p>
            <w:r>
              <w:t>Morningstar LSTA US Leveraged Loan Index</w:t>
            </w:r>
          </w:p>
        </w:tc>
        <w:tc>
          <w:tcPr>
            <w:tcW w:type="dxa" w:w="864"/>
          </w:tcPr>
          <w:p>
            <w:r>
              <w:t>6/12</w:t>
            </w:r>
          </w:p>
        </w:tc>
        <w:tc>
          <w:tcPr>
            <w:tcW w:type="dxa" w:w="3888"/>
          </w:tcPr>
          <w:p>
            <w:r>
              <w:t>score 6/12 below the threshold 7/12</w:t>
            </w:r>
          </w:p>
        </w:tc>
      </w:tr>
    </w:tbl>
    <w:p>
      <w:pPr>
        <w:pStyle w:val="Heading1"/>
      </w:pPr>
      <w:r>
        <w:t>Exhibit B. Liquidity match for this plan</w:t>
      </w:r>
    </w:p>
    <w:p>
      <w:r>
        <w:t>Plan: US media/technology company 401(k) plan (~$570M, New York). verdict is structural (typed facts, cells 3.1, 3.3, 2.7, plan-independent). scenario_verdict is ILLUSTRATIVE (the plan's filed outflow proxy as the base demand and the sliders as the stress, against the same capacity, per plan).</w:t>
      </w:r>
    </w:p>
    <w:p>
      <w:pPr>
        <w:pStyle w:val="Heading2"/>
      </w:pPr>
      <w:r>
        <w:t>Structural verdict (typed facts, plan-independent)</w:t>
      </w:r>
    </w:p>
    <w:p>
      <w:r>
        <w:t>CONDITIONAL</w:t>
      </w:r>
    </w:p>
    <w:p>
      <w:pPr>
        <w:pStyle w:val="ListBullet"/>
      </w:pPr>
      <w:r>
        <w:t>STRUCTURAL GAP: a participant-directed 404(c) menu assumes daily pricing and daily participant liquidity, whereas this wrapper deals quarterly with a 5% cap per quarter on outstanding shares. Direct DIA use requires a bridging structure: CIT sleeve, managed account, or TDF sleeve (cell 3.5).</w:t>
      </w:r>
    </w:p>
    <w:tbl>
      <w:tblPr>
        <w:tblStyle w:val="TableGrid"/>
        <w:tblW w:type="auto" w:w="0"/>
        <w:tblLook w:firstColumn="1" w:firstRow="1" w:lastColumn="0" w:lastRow="0" w:noHBand="0" w:noVBand="1" w:val="04A0"/>
      </w:tblPr>
      <w:tblGrid>
        <w:gridCol w:w="3120"/>
        <w:gridCol w:w="3120"/>
        <w:gridCol w:w="3120"/>
      </w:tblGrid>
      <w:tr>
        <w:tc>
          <w:tcPr>
            <w:tcW w:type="dxa" w:w="2448"/>
          </w:tcPr>
          <w:p>
            <w:r>
              <w:t>Wrapper fact</w:t>
            </w:r>
          </w:p>
        </w:tc>
        <w:tc>
          <w:tcPr>
            <w:tcW w:type="dxa" w:w="5760"/>
          </w:tcPr>
          <w:p>
            <w:r>
              <w:t>Value</w:t>
            </w:r>
          </w:p>
        </w:tc>
        <w:tc>
          <w:tcPr>
            <w:tcW w:type="dxa" w:w="1152"/>
          </w:tcPr>
          <w:p>
            <w:r>
              <w:t>Cell</w:t>
            </w:r>
          </w:p>
        </w:tc>
      </w:tr>
      <w:tr>
        <w:tc>
          <w:tcPr>
            <w:tcW w:type="dxa" w:w="2448"/>
          </w:tcPr>
          <w:p>
            <w:r>
              <w:t>Wrapper</w:t>
            </w:r>
          </w:p>
        </w:tc>
        <w:tc>
          <w:tcPr>
            <w:tcW w:type="dxa" w:w="5760"/>
          </w:tcPr>
          <w:p>
            <w:r>
              <w:t>interval fund (Rule 23c-3)</w:t>
            </w:r>
          </w:p>
        </w:tc>
        <w:tc>
          <w:tcPr>
            <w:tcW w:type="dxa" w:w="1152"/>
          </w:tcPr>
          <w:p>
            <w:r>
              <w:t>6.1</w:t>
            </w:r>
          </w:p>
        </w:tc>
      </w:tr>
      <w:tr>
        <w:tc>
          <w:tcPr>
            <w:tcW w:type="dxa" w:w="2448"/>
          </w:tcPr>
          <w:p>
            <w:r>
              <w:t>Dealing terms</w:t>
            </w:r>
          </w:p>
        </w:tc>
        <w:tc>
          <w:tcPr>
            <w:tcW w:type="dxa" w:w="5760"/>
          </w:tcPr>
          <w:p>
            <w:r>
              <w:t>quarterly offers, 5% cap per quarter on outstanding shares</w:t>
            </w:r>
          </w:p>
        </w:tc>
        <w:tc>
          <w:tcPr>
            <w:tcW w:type="dxa" w:w="1152"/>
          </w:tcPr>
          <w:p>
            <w:r>
              <w:t>3.1</w:t>
            </w:r>
          </w:p>
        </w:tc>
      </w:tr>
      <w:tr>
        <w:tc>
          <w:tcPr>
            <w:tcW w:type="dxa" w:w="2448"/>
          </w:tcPr>
          <w:p>
            <w:r>
              <w:t>Repurchase caps</w:t>
            </w:r>
          </w:p>
        </w:tc>
        <w:tc>
          <w:tcPr>
            <w:tcW w:type="dxa" w:w="5760"/>
          </w:tcPr>
          <w:p>
            <w:r>
              <w:t>5% per quarter, 20% per year</w:t>
            </w:r>
          </w:p>
        </w:tc>
        <w:tc>
          <w:tcPr>
            <w:tcW w:type="dxa" w:w="1152"/>
          </w:tcPr>
          <w:p>
            <w:r>
              <w:t>3.1</w:t>
            </w:r>
          </w:p>
        </w:tc>
      </w:tr>
      <w:tr>
        <w:tc>
          <w:tcPr>
            <w:tcW w:type="dxa" w:w="2448"/>
          </w:tcPr>
          <w:p>
            <w:r>
              <w:t>Annual capacity (binding cap)</w:t>
            </w:r>
          </w:p>
        </w:tc>
        <w:tc>
          <w:tcPr>
            <w:tcW w:type="dxa" w:w="5760"/>
          </w:tcPr>
          <w:p>
            <w:r>
              <w:t>20% of the position per year</w:t>
            </w:r>
          </w:p>
        </w:tc>
        <w:tc>
          <w:tcPr>
            <w:tcW w:type="dxa" w:w="1152"/>
          </w:tcPr>
          <w:p>
            <w:r>
              <w:t>3.1</w:t>
            </w:r>
          </w:p>
        </w:tc>
      </w:tr>
      <w:tr>
        <w:tc>
          <w:tcPr>
            <w:tcW w:type="dxa" w:w="2448"/>
          </w:tcPr>
          <w:p>
            <w:r>
              <w:t>Gating history</w:t>
            </w:r>
          </w:p>
        </w:tc>
        <w:tc>
          <w:tcPr>
            <w:tcW w:type="dxa" w:w="5760"/>
          </w:tcPr>
          <w:p>
            <w:r>
              <w:t>none identified in the filings on record</w:t>
            </w:r>
          </w:p>
        </w:tc>
        <w:tc>
          <w:tcPr>
            <w:tcW w:type="dxa" w:w="1152"/>
          </w:tcPr>
          <w:p>
            <w:r>
              <w:t>3.3</w:t>
            </w:r>
          </w:p>
        </w:tc>
      </w:tr>
      <w:tr>
        <w:tc>
          <w:tcPr>
            <w:tcW w:type="dxa" w:w="2448"/>
          </w:tcPr>
          <w:p>
            <w:r>
              <w:t>Repurchase program status</w:t>
            </w:r>
          </w:p>
        </w:tc>
        <w:tc>
          <w:tcPr>
            <w:tcW w:type="dxa" w:w="5760"/>
          </w:tcPr>
          <w:p>
            <w:r>
              <w:t>not typed: no suspension language in 3.1 or 3.3 as of 2025-06-30</w:t>
            </w:r>
          </w:p>
        </w:tc>
        <w:tc>
          <w:tcPr>
            <w:tcW w:type="dxa" w:w="1152"/>
          </w:tcPr>
          <w:p>
            <w:r>
              <w:t>3.1</w:t>
            </w:r>
          </w:p>
        </w:tc>
      </w:tr>
      <w:tr>
        <w:tc>
          <w:tcPr>
            <w:tcW w:type="dxa" w:w="2448"/>
          </w:tcPr>
          <w:p>
            <w:r>
              <w:t>Early repurchase fee</w:t>
            </w:r>
          </w:p>
        </w:tc>
        <w:tc>
          <w:tcPr>
            <w:tcW w:type="dxa" w:w="5760"/>
          </w:tcPr>
          <w:p>
            <w:r>
              <w:t>none at fund level (2.7)</w:t>
            </w:r>
          </w:p>
        </w:tc>
        <w:tc>
          <w:tcPr>
            <w:tcW w:type="dxa" w:w="1152"/>
          </w:tcPr>
          <w:p>
            <w:r>
              <w:t>2.7</w:t>
            </w:r>
          </w:p>
        </w:tc>
      </w:tr>
      <w:tr>
        <w:tc>
          <w:tcPr>
            <w:tcW w:type="dxa" w:w="2448"/>
          </w:tcPr>
          <w:p>
            <w:r>
              <w:t>Fund net assets (for the dollar capacity)</w:t>
            </w:r>
          </w:p>
        </w:tc>
        <w:tc>
          <w:tcPr>
            <w:tcW w:type="dxa" w:w="5760"/>
          </w:tcPr>
          <w:p>
            <w:r>
              <w:t>approx. $3.6B</w:t>
            </w:r>
          </w:p>
        </w:tc>
        <w:tc>
          <w:tcPr>
            <w:tcW w:type="dxa" w:w="1152"/>
          </w:tcPr>
          <w:p>
            <w:r>
              <w:t>3.6</w:t>
            </w:r>
          </w:p>
        </w:tc>
      </w:tr>
    </w:tbl>
    <w:p>
      <w:pPr>
        <w:pStyle w:val="Heading2"/>
      </w:pPr>
      <w:r>
        <w:t>Scenario (ILLUSTRATIVE, this plan)</w:t>
      </w:r>
    </w:p>
    <w:p>
      <w:r>
        <w:t>Plan inputs (Form 5500): net assets $565.8M, liquidity tail 36.1% of accounts (1,847 separated participants with balances), filed outflow proxy 11.7% of beginning net assets per year (Schedule H totals of the plan's Form 5500 for plan year 2024-01-01 to 2024-12-31, from the plan record: total expenses less administrative expenses over beginning net assets, an upper bound on benefit payments while Schedule H line 2e is not in the record).</w:t>
      </w:r>
    </w:p>
    <w:p>
      <w:r>
        <w:t>Base demand (filed outflow proxy applied to a 5% allocation = $28.3M): $3.3M/yr = 11.7% of the position per year vs annual wrapper capacity 20%.</w:t>
      </w:r>
    </w:p>
    <w:p>
      <w:r>
        <w:t>Slider assumption (adjustable on the site, not a fact): tail turnover 20%/yr, active turnover 5%/yr, 10.4% of the position per year = $2.9M/yr, shown beside the filed rate, not blended with it.</w:t>
      </w:r>
    </w:p>
    <w:p>
      <w:r>
        <w:t>Stressed (the filed outflow proxy plus the increment the sliders add under stress (tail turnover x2, active turnover x1.5 over the slider assumption)): demand $5.8M/yr = 20.5% of the position. EXCEEDS annual wrapper capacity (20.5% vs 20%). Unmet demand rolls into later windows (gating-equivalent outcome).</w:t>
      </w:r>
    </w:p>
    <w:p>
      <w:r>
        <w:t>Fund capacity in dollars: $719.4M per year (20% of approx. $3.6B net assets, cell 3.6). The plan's demand at the filed rate is $3.3M per year, 0.46% of that capacity, a claim shared with every other holder.</w:t>
      </w:r>
    </w:p>
    <w:p>
      <w:r>
        <w:t>Scenario verdict (ILLUSTRATIVE, this plan): CONDITIONAL-WEAK.</w:t>
      </w:r>
    </w:p>
    <w:p>
      <w:pPr>
        <w:pStyle w:val="ListBullet"/>
      </w:pPr>
      <w:r>
        <w:t>Capacity: 5% per quarter on outstanding shares: at most 20% of the position per year. This is a FUND-level cap shared by every holder, so the plan's position is served only while offers are not oversubscribed.</w:t>
      </w:r>
    </w:p>
    <w:p>
      <w:pPr>
        <w:pStyle w:val="ListBullet"/>
      </w:pPr>
      <w:r>
        <w:t>Filed outflow proxy (Schedule H, plan year 2024-01-01 to 2024-12-31): 11.7% of the position per year vs 20% annual wrapper capacity, the plan's total expenses less administrative expenses over beginning net assets, applied to the position. Adequate headroom at the filed rate if offers are not prorated.</w:t>
      </w:r>
    </w:p>
    <w:p>
      <w:pPr>
        <w:pStyle w:val="ListBullet"/>
      </w:pPr>
      <w:r>
        <w:t>Slider assumption (illustrative): 10.4% of the position per year vs 20% annual wrapper capacity, from tail turnover 20%/yr on the 36.1% of accounts that are separated and active turnover 5%/yr on the rest. Shown beside the filed rate, not blended with it. Within 60% of wrapper capacity at these sliders.</w:t>
      </w:r>
    </w:p>
    <w:p>
      <w:pPr>
        <w:pStyle w:val="ListBullet"/>
      </w:pPr>
      <w:r>
        <w:t>Fund capacity in dollars: 20% of approx. $3.6B net assets (cell 3.6) is $719.4M per year. At a 5% allocation ($28.3M) the plan's demand at the filed rate is $3.3M per year, 0.46% of that capacity. The cap is shared by every holder, so this is the plan's own claim on it, not the fund's total demand. The allocation moves these dollar figures and this share, never the percent-of-position ladder.</w:t>
      </w:r>
    </w:p>
    <w:p>
      <w:pPr>
        <w:pStyle w:val="ListBullet"/>
      </w:pPr>
      <w:r>
        <w:t>Scenario verdict (ILLUSTRATIVE, this plan): conditional-weak. Misaligned when the filed outflow proxy exceeds the annual wrapper capacity, conditional-weak when the stressed demand exceeds it, conditional otherwise. It moves with the plan's filing and the sliders. Proration assumption: an oversubscribed offer is filled pro rata and the unfilled remainder waits for the next window.</w:t>
      </w:r>
    </w:p>
    <w:p>
      <w:pPr>
        <w:pStyle w:val="ListBullet"/>
      </w:pPr>
      <w:r>
        <w:t>Schedule H benefit-payment line 2e is not yet in the plan record. The filed outflow proxy (total expenses less administrative expenses over beginning net assets) stands in for it as the base demand, and the turnover sliders are the stress around it.</w:t>
      </w:r>
    </w:p>
    <w:p>
      <w:r>
        <w:t>Cited: cell 2.7, cell 3.1, cell 3.3, cell 3.6, cell 3.7, plan: plan_tech_media.json (Form 5500, plan year 2024-01-01 to 2024-12-31).</w:t>
      </w:r>
    </w:p>
    <w:p>
      <w:pPr>
        <w:pStyle w:val="Heading1"/>
      </w:pPr>
      <w:r>
        <w:t>Exhibit C. Fees and terms, typed layer</w:t>
      </w:r>
    </w:p>
    <w:p>
      <w:r>
        <w:t>Each line is the typed fact that cites the cell, or the cell's status word when no fact is typed. Full text and provenance are in the record.</w:t>
      </w:r>
    </w:p>
    <w:tbl>
      <w:tblPr>
        <w:tblStyle w:val="TableGrid"/>
        <w:tblW w:type="auto" w:w="0"/>
        <w:tblLook w:firstColumn="1" w:firstRow="1" w:lastColumn="0" w:lastRow="0" w:noHBand="0" w:noVBand="1" w:val="04A0"/>
      </w:tblPr>
      <w:tblGrid>
        <w:gridCol w:w="3120"/>
        <w:gridCol w:w="3120"/>
        <w:gridCol w:w="3120"/>
      </w:tblGrid>
      <w:tr>
        <w:tc>
          <w:tcPr>
            <w:tcW w:type="dxa" w:w="2880"/>
          </w:tcPr>
          <w:p>
            <w:r>
              <w:t>Cell</w:t>
            </w:r>
          </w:p>
        </w:tc>
        <w:tc>
          <w:tcPr>
            <w:tcW w:type="dxa" w:w="3600"/>
          </w:tcPr>
          <w:p>
            <w:r>
              <w:t>Typed headline</w:t>
            </w:r>
          </w:p>
        </w:tc>
        <w:tc>
          <w:tcPr>
            <w:tcW w:type="dxa" w:w="2880"/>
          </w:tcPr>
          <w:p>
            <w:r>
              <w:t>Status</w:t>
            </w:r>
          </w:p>
        </w:tc>
      </w:tr>
      <w:tr>
        <w:tc>
          <w:tcPr>
            <w:tcW w:type="dxa" w:w="2880"/>
          </w:tcPr>
          <w:p>
            <w:r>
              <w:t>2.1 Management fee (rate AND base)</w:t>
            </w:r>
          </w:p>
        </w:tc>
        <w:tc>
          <w:tcPr>
            <w:tcW w:type="dxa" w:w="3600"/>
          </w:tcPr>
          <w:p>
            <w:r>
              <w:t>1.30% on the lesser of two bases</w:t>
            </w:r>
          </w:p>
        </w:tc>
        <w:tc>
          <w:tcPr>
            <w:tcW w:type="dxa" w:w="2880"/>
          </w:tcPr>
          <w:p>
            <w:r>
              <w:t>extracted-unverified</w:t>
            </w:r>
          </w:p>
        </w:tc>
      </w:tr>
      <w:tr>
        <w:tc>
          <w:tcPr>
            <w:tcW w:type="dxa" w:w="2880"/>
          </w:tcPr>
          <w:p>
            <w:r>
              <w:t>2.2 Incentive fee terms</w:t>
            </w:r>
          </w:p>
        </w:tc>
        <w:tc>
          <w:tcPr>
            <w:tcW w:type="dxa" w:w="3600"/>
          </w:tcPr>
          <w:p>
            <w:r>
              <w:t>incentive fee: none</w:t>
            </w:r>
          </w:p>
        </w:tc>
        <w:tc>
          <w:tcPr>
            <w:tcW w:type="dxa" w:w="2880"/>
          </w:tcPr>
          <w:p>
            <w:r>
              <w:t>extracted-unverified</w:t>
            </w:r>
          </w:p>
        </w:tc>
      </w:tr>
      <w:tr>
        <w:tc>
          <w:tcPr>
            <w:tcW w:type="dxa" w:w="2880"/>
          </w:tcPr>
          <w:p>
            <w:r>
              <w:t>2.3 Total expense ratio &amp; waivers</w:t>
            </w:r>
          </w:p>
        </w:tc>
        <w:tc>
          <w:tcPr>
            <w:tcW w:type="dxa" w:w="3600"/>
          </w:tcPr>
          <w:p>
            <w:r>
              <w:t>1.97% expense ratio, excluding interest expense (5.12% including reverse-repo interest), gross equals net, no waivers (FY2025, Institutional)</w:t>
            </w:r>
          </w:p>
        </w:tc>
        <w:tc>
          <w:tcPr>
            <w:tcW w:type="dxa" w:w="2880"/>
          </w:tcPr>
          <w:p>
            <w:r>
              <w:t>extracted-unverified</w:t>
            </w:r>
          </w:p>
        </w:tc>
      </w:tr>
      <w:tr>
        <w:tc>
          <w:tcPr>
            <w:tcW w:type="dxa" w:w="2880"/>
          </w:tcPr>
          <w:p>
            <w:r>
              <w:t>2.4 AFFE</w:t>
            </w:r>
          </w:p>
        </w:tc>
        <w:tc>
          <w:tcPr>
            <w:tcW w:type="dxa" w:w="3600"/>
          </w:tcPr>
          <w:p>
            <w:r>
              <w:t>no AFFE line</w:t>
            </w:r>
          </w:p>
        </w:tc>
        <w:tc>
          <w:tcPr>
            <w:tcW w:type="dxa" w:w="2880"/>
          </w:tcPr>
          <w:p>
            <w:r>
              <w:t>extracted-unverified</w:t>
            </w:r>
          </w:p>
        </w:tc>
      </w:tr>
      <w:tr>
        <w:tc>
          <w:tcPr>
            <w:tcW w:type="dxa" w:w="2880"/>
          </w:tcPr>
          <w:p>
            <w:r>
              <w:t>2.6 Loads &amp; servicing fees</w:t>
            </w:r>
          </w:p>
        </w:tc>
        <w:tc>
          <w:tcPr>
            <w:tcW w:type="dxa" w:w="3600"/>
          </w:tcPr>
          <w:p>
            <w:r>
              <w:t>no typed fact for this cell</w:t>
            </w:r>
          </w:p>
        </w:tc>
        <w:tc>
          <w:tcPr>
            <w:tcW w:type="dxa" w:w="2880"/>
          </w:tcPr>
          <w:p>
            <w:r>
              <w:t>extracted-unverified</w:t>
            </w:r>
          </w:p>
        </w:tc>
      </w:tr>
      <w:tr>
        <w:tc>
          <w:tcPr>
            <w:tcW w:type="dxa" w:w="2880"/>
          </w:tcPr>
          <w:p>
            <w:r>
              <w:t>2.7 Early repurchase fee</w:t>
            </w:r>
          </w:p>
        </w:tc>
        <w:tc>
          <w:tcPr>
            <w:tcW w:type="dxa" w:w="3600"/>
          </w:tcPr>
          <w:p>
            <w:r>
              <w:t>early repurchase fee: none</w:t>
            </w:r>
          </w:p>
        </w:tc>
        <w:tc>
          <w:tcPr>
            <w:tcW w:type="dxa" w:w="2880"/>
          </w:tcPr>
          <w:p>
            <w:r>
              <w:t>extracted-unverified</w:t>
            </w:r>
          </w:p>
        </w:tc>
      </w:tr>
      <w:tr>
        <w:tc>
          <w:tcPr>
            <w:tcW w:type="dxa" w:w="2880"/>
          </w:tcPr>
          <w:p>
            <w:r>
              <w:t>6.4 Tax reporting (1099 vs K-1)</w:t>
            </w:r>
          </w:p>
        </w:tc>
        <w:tc>
          <w:tcPr>
            <w:tcW w:type="dxa" w:w="3600"/>
          </w:tcPr>
          <w:p>
            <w:r>
              <w:t>Form 1099</w:t>
            </w:r>
          </w:p>
        </w:tc>
        <w:tc>
          <w:tcPr>
            <w:tcW w:type="dxa" w:w="2880"/>
          </w:tcPr>
          <w:p>
            <w:r>
              <w:t>extracted-unverified</w:t>
            </w:r>
          </w:p>
        </w:tc>
      </w:tr>
    </w:tbl>
    <w:p>
      <w:pPr>
        <w:pStyle w:val="Heading1"/>
      </w:pPr>
      <w:r>
        <w:t>Exhibit D. Peer cohort placement</w:t>
      </w:r>
    </w:p>
    <w:p>
      <w:r>
        <w:t>Cohort Private credit (interval fund + non-traded BDC) (n=5). Flexible multi-sector credit in the SAME wrapper as cclfx (interval, quarterly 5%). A wrapper twin with a broader credit mandate (loans, structured, EM). Mandate breadth is the disclosed mismatch.</w:t>
      </w:r>
    </w:p>
    <w:p>
      <w:r>
        <w:t>Cohort placement (private credit cohort): mgmt fee: 90th percentile of cohort (n=5), above the median of 1.25 | expense ratio (bases differ, see notes): 30th percentile of cohort (n=5), below the median of 3.76 | repurchase cap: 50th percentile of cohort (n=5), at the median of 5. Statistics and per-member values are in the cohort artifact, membership rationales in the typed facts.</w:t>
      </w:r>
    </w:p>
    <w:p>
      <w:pPr>
        <w:pStyle w:val="ListBullet"/>
      </w:pPr>
      <w:r>
        <w:t>LEVERAGE-REGIME MIX: BDC 150% coverage and non-1940-Act wrappers allow materially more leverage than 1940-Act funds. Fee bases and return volatility are not like-for-like. [typed per product: bcred: BDC 150% asset-coverage regime, cion_ares: 1940-Act asset-coverage limits, cliffwater_cclfx: 1940-Act asset-coverage limits, ocic: BDC 150% asset-coverage regime, pflex: 1940-Act asset-coverage limits]</w:t>
      </w:r>
    </w:p>
    <w:p>
      <w:pPr>
        <w:pStyle w:val="ListBullet"/>
      </w:pPr>
      <w:r>
        <w:t>LIQUIDITY-LAW MIX: Rule 23c-3 obligations, discretionary tenders, and repurchase plans give different worst-case exit rights. Cadence numbers alone overstate comparability. [by wrapper type: bcred: board-discretionary share repurchases, cion_ares: Rule 23c-3 OBLIGATION (board cannot skip a window), cliffwater_cclfx: Rule 23c-3 OBLIGATION (board cannot skip a window), ocic: board-discretionary share repurchases, pflex: Rule 23c-3 OBLIGATION (board cannot skip a window)]</w:t>
      </w:r>
    </w:p>
    <w:p>
      <w:pPr>
        <w:pStyle w:val="ListBullet"/>
      </w:pPr>
      <w:r>
        <w:t>NAV-CADENCE MIX: daily, monthly, and quarterly NAV processes embed different appraisal smoothing. Volatility and drawdown comparisons inherit that difference (see de-smoothing lab). [typed per product: bcred: monthly, cion_ares: daily, cliffwater_cclfx: daily, ocic: quarterly, pflex: daily]</w:t>
      </w:r>
    </w:p>
    <w:p>
      <w:pPr>
        <w:pStyle w:val="Heading1"/>
      </w:pPr>
      <w:r>
        <w:t>Advisor-stated inputs (this plan)</w:t>
      </w:r>
    </w:p>
    <w:p>
      <w:r>
        <w:t>An advisor-stated cell is the adopting fiduciary's own input for its plan, signed and dated. It is not evidence, it is never extracted or verified, and the product record's cell stays as it is.</w:t>
      </w:r>
    </w:p>
    <w:p>
      <w:r>
        <w:t>None stated for US media/technology company 401(k) plan (~$570M, New York).</w:t>
      </w:r>
    </w:p>
    <w:p>
      <w:pPr>
        <w:pStyle w:val="Heading1"/>
      </w:pPr>
      <w:r>
        <w:t>Provenance</w:t>
      </w:r>
    </w:p>
    <w:p>
      <w:r>
        <w:t>Cell status for this product: structured 0, extracted-unverified 27, verified 0, computed 14, partial 2, fetched 1, n/a 11, pending 0.</w:t>
      </w:r>
    </w:p>
    <w:p>
      <w:r>
        <w:t>Regulatory basis: Fiduciary Duties in Selecting Designated Investment Alternatives, 91 FR 16088 (Mar. 31, 2026), RIN 1210-AC38, proposed 29 CFR 2550.404a-6, paragraphs (g) to (l), cited not paraphrased. Every figure above is a cited cell, a typed projection of one, or an engine artifact of the record as of 2026-09-04. Scenario figures are ILLUSTRATIVE. The plan is shown under its anonymized label.</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