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Neostellar Capital Corp. (fka SuRo Capital Corp., SSSS) (LISTED BDC (exchange-traded; pre-IPO growth holdings), CIK 1509470)</w:t>
        <w:br/>
      </w:r>
      <w:r>
        <w:t>Record as of 2026-09-04. DRAFT, generated by the build from the record. The decision memo for the same plan and product is a separate document.</w:t>
      </w:r>
    </w:p>
    <w:p>
      <w:pPr>
        <w:pStyle w:val="Heading1"/>
      </w:pPr>
      <w:r>
        <w:t>Summary</w:t>
      </w:r>
    </w:p>
    <w:p>
      <w:r>
        <w:t>Structural liquidity verdict: ALIGNED-MECHANICAL (typed facts, plan-independent). Scenario verdict under this plan (ILLUSTRATIVE, default sliders): ALIGNED-MECHANICAL.</w:t>
      </w:r>
    </w:p>
    <w:p>
      <w:r>
        <w:t>Benchmark: 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Peer comparison (paragraphs (g) and (h)): composite refused, fewer than 3 peers remain after leaving Neostellar Capital Corp. out (2: Destiny Tech100 Inc, ARK Venture Fund).</w:t>
      </w:r>
    </w:p>
    <w:p>
      <w:r>
        <w:t>Flags raised by the record (each restates a typed value or verdict, with its source):</w:t>
      </w:r>
    </w:p>
    <w:p>
      <w:pPr>
        <w:pStyle w:val="ListBullet"/>
      </w:pPr>
      <w:r>
        <w:t>Benchmark: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 (benchmark selection)</w:t>
      </w:r>
    </w:p>
    <w:p>
      <w:pPr>
        <w:pStyle w:val="ListBullet"/>
      </w:pPr>
      <w:r>
        <w:t>Peer comparison: composite refused, fewer than 3 peers remain after leaving Neostellar Capital Corp. out (2: Destiny Tech100 Inc, ARK Venture Fund) (cell 1.12)</w:t>
      </w:r>
    </w:p>
    <w:p>
      <w:r>
        <w:t>Evidence coverage: 45 of 45 resolvable, 0 verified, 10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No candidate is eligible on held data.</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SEC-required comparator</w:t>
            </w:r>
          </w:p>
        </w:tc>
        <w:tc>
          <w:tcPr>
            <w:tcW w:type="dxa" w:w="3456"/>
          </w:tcPr>
          <w:p>
            <w:r>
              <w:t>S&amp;P 500</w:t>
            </w:r>
          </w:p>
        </w:tc>
        <w:tc>
          <w:tcPr>
            <w:tcW w:type="dxa" w:w="864"/>
          </w:tcPr>
          <w:p>
            <w:r/>
          </w:p>
        </w:tc>
        <w:tc>
          <w:tcPr>
            <w:tcW w:type="dxa" w:w="3888"/>
          </w:tcPr>
          <w:p>
            <w:r>
              <w:t>held, scored 7/12, fund price decoupled from NAV. KS-PME 1.0302, Direct Alpha 0.37%/yr, 2018-07-18 to 2026-07-17</w:t>
            </w:r>
          </w:p>
        </w:tc>
      </w:tr>
      <w:tr>
        <w:tc>
          <w:tcPr>
            <w:tcW w:type="dxa" w:w="1152"/>
          </w:tcPr>
          <w:p>
            <w:r>
              <w:t>Peer comparison (paragraphs (g) and (h))</w:t>
            </w:r>
          </w:p>
        </w:tc>
        <w:tc>
          <w:tcPr>
            <w:tcW w:type="dxa" w:w="3456"/>
          </w:tcPr>
          <w:p>
            <w:r>
              <w:t>Peer composite, pre-IPO and venture cohort without Neostellar Capital Corp.</w:t>
            </w:r>
          </w:p>
        </w:tc>
        <w:tc>
          <w:tcPr>
            <w:tcW w:type="dxa" w:w="864"/>
          </w:tcPr>
          <w:p>
            <w:r>
              <w:t>not scored</w:t>
            </w:r>
          </w:p>
        </w:tc>
        <w:tc>
          <w:tcPr>
            <w:tcW w:type="dxa" w:w="3888"/>
          </w:tcPr>
          <w:p>
            <w:r>
              <w:t>composite refused: fewer than 3 peers remain after leaving Neostellar Capital Corp. out (2: Destiny Tech100 Inc, ARK Venture Fund)</w:t>
            </w:r>
          </w:p>
        </w:tc>
      </w:tr>
      <w:tr>
        <w:tc>
          <w:tcPr>
            <w:tcW w:type="dxa" w:w="1152"/>
          </w:tcPr>
          <w:p>
            <w:r>
              <w:t>rejected</w:t>
            </w:r>
          </w:p>
        </w:tc>
        <w:tc>
          <w:tcPr>
            <w:tcW w:type="dxa" w:w="3456"/>
          </w:tcPr>
          <w:p>
            <w:r>
              <w:t>Listed private equity investable proxy (PSP)</w:t>
            </w:r>
          </w:p>
        </w:tc>
        <w:tc>
          <w:tcPr>
            <w:tcW w:type="dxa" w:w="864"/>
          </w:tcPr>
          <w:p>
            <w:r>
              <w:t>7/12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S&amp;P 500 investable proxy (SPY)</w:t>
            </w:r>
          </w:p>
        </w:tc>
        <w:tc>
          <w:tcPr>
            <w:tcW w:type="dxa" w:w="864"/>
          </w:tcPr>
          <w:p>
            <w:r>
              <w:t>7/12</w:t>
            </w:r>
          </w:p>
        </w:tc>
        <w:tc>
          <w:tcPr>
            <w:tcW w:type="dxa" w:w="3888"/>
          </w:tcPr>
          <w:p>
            <w:r>
              <w:t>fund price is premium/discount-driven and decoupled from NAV. Benchmarking the price benchmarks the premium, not the portfolio</w:t>
            </w:r>
          </w:p>
        </w:tc>
      </w:tr>
    </w:tbl>
    <w:p>
      <w:pPr>
        <w:pStyle w:val="Heading1"/>
      </w:pPr>
      <w:r>
        <w:t>Exhibit B. Liquidity match for this plan</w:t>
      </w:r>
    </w:p>
    <w:p>
      <w:r>
        <w:t>Plan: US media/technology company 401(k) plan (~$570M, New York).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 BDC</w:t>
            </w:r>
          </w:p>
        </w:tc>
        <w:tc>
          <w:tcPr>
            <w:tcW w:type="dxa" w:w="1152"/>
          </w:tcPr>
          <w:p>
            <w:r>
              <w:t>6.1</w:t>
            </w:r>
          </w:p>
        </w:tc>
      </w:tr>
      <w:tr>
        <w:tc>
          <w:tcPr>
            <w:tcW w:type="dxa" w:w="2448"/>
          </w:tcPr>
          <w:p>
            <w:r>
              <w:t>Dealing terms</w:t>
            </w:r>
          </w:p>
        </w:tc>
        <w:tc>
          <w:tcPr>
            <w:tcW w:type="dxa" w:w="5760"/>
          </w:tcPr>
          <w:p>
            <w:r>
              <w:t>daily on-exchange dealing, no fund-level cap (3.1)</w:t>
            </w:r>
          </w:p>
        </w:tc>
        <w:tc>
          <w:tcPr>
            <w:tcW w:type="dxa" w:w="1152"/>
          </w:tcPr>
          <w:p>
            <w:r>
              <w:t>3.1</w:t>
            </w:r>
          </w:p>
        </w:tc>
      </w:tr>
      <w:tr>
        <w:tc>
          <w:tcPr>
            <w:tcW w:type="dxa" w:w="2448"/>
          </w:tcPr>
          <w:p>
            <w:r>
              <w:t>Repurchase caps</w:t>
            </w:r>
          </w:p>
        </w:tc>
        <w:tc>
          <w:tcPr>
            <w:tcW w:type="dxa" w:w="5760"/>
          </w:tcPr>
          <w:p>
            <w:r>
              <w:t>no fund-level cap, capacity is market depth</w:t>
            </w:r>
          </w:p>
        </w:tc>
        <w:tc>
          <w:tcPr>
            <w:tcW w:type="dxa" w:w="1152"/>
          </w:tcPr>
          <w:p>
            <w:r>
              <w:t>3.1</w:t>
            </w:r>
          </w:p>
        </w:tc>
      </w:tr>
      <w:tr>
        <w:tc>
          <w:tcPr>
            <w:tcW w:type="dxa" w:w="2448"/>
          </w:tcPr>
          <w:p>
            <w:r>
              <w:t>Annual capacity (binding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not applicable (exchange-traded).</w:t>
      </w:r>
    </w:p>
    <w:p>
      <w:r>
        <w:t>Slider assumption (adjustable on the site, not a fact): tail turnover 20%/yr, active turnover 5%/yr, 10.4% of the position per year = $2.9M/yr, shown beside the filed rate, not blended with it.</w:t>
      </w:r>
    </w:p>
    <w:p>
      <w:r>
        <w:t>Stressed (the filed outflow proxy plus the increment the sliders add under stress (tail turnover x2, active turnover x1.5 over the slider assumption)): demand $5.8M/yr = 20.5%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pPr>
        <w:pStyle w:val="ListBullet"/>
      </w:pPr>
      <w:r>
        <w:t>Filed outflow proxy (Schedule H, plan year 2024-01-01 to 2024-12-31): 11.7% of the position per year, the plan's total expenses less administrative expenses over beginning net assets, applied to the position. On an exchange this is a selling rate against market depth, not a claim on a fund cap.</w:t>
      </w:r>
    </w:p>
    <w:p>
      <w:pPr>
        <w:pStyle w:val="ListBullet"/>
      </w:pPr>
      <w:r>
        <w:t>Slider assumption (illustrative): 10.4% of the position per year, from tail turnover 20%/yr on the 36.1% of accounts that are separated and active turnover 5%/yr on the rest. Shown beside the filed rate, not blended with it, and likewise a selling rate against market depth.</w:t>
      </w:r>
    </w:p>
    <w:p>
      <w:r>
        <w:t>Cited: cell 3.1, cell 3.3, cell 3.7,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1.75% on gross assets incl. borrowings</w:t>
            </w:r>
          </w:p>
        </w:tc>
        <w:tc>
          <w:tcPr>
            <w:tcW w:type="dxa" w:w="2880"/>
          </w:tcPr>
          <w:p>
            <w:r>
              <w:t>extracted-unverified</w:t>
            </w:r>
          </w:p>
        </w:tc>
      </w:tr>
      <w:tr>
        <w:tc>
          <w:tcPr>
            <w:tcW w:type="dxa" w:w="2880"/>
          </w:tcPr>
          <w:p>
            <w:r>
              <w:t>2.2 Incentive fee terms</w:t>
            </w:r>
          </w:p>
        </w:tc>
        <w:tc>
          <w:tcPr>
            <w:tcW w:type="dxa" w:w="3600"/>
          </w:tcPr>
          <w:p>
            <w:r>
              <w:t>incentive fee: 7% hurdle</w:t>
            </w:r>
          </w:p>
        </w:tc>
        <w:tc>
          <w:tcPr>
            <w:tcW w:type="dxa" w:w="2880"/>
          </w:tcPr>
          <w:p>
            <w:r>
              <w:t>extracted-unverified</w:t>
            </w:r>
          </w:p>
        </w:tc>
      </w:tr>
      <w:tr>
        <w:tc>
          <w:tcPr>
            <w:tcW w:type="dxa" w:w="2880"/>
          </w:tcPr>
          <w:p>
            <w:r>
              <w:t>2.3 Total expense ratio &amp; waivers</w:t>
            </w:r>
          </w:p>
        </w:tc>
        <w:tc>
          <w:tcPr>
            <w:tcW w:type="dxa" w:w="3600"/>
          </w:tcPr>
          <w:p>
            <w:r>
              <w:t>9.46% expense ratio, net operating expenses under internal management, the fee regime changed 2026-07-15 (FY2025)</w:t>
            </w:r>
          </w:p>
        </w:tc>
        <w:tc>
          <w:tcPr>
            <w:tcW w:type="dxa" w:w="2880"/>
          </w:tcPr>
          <w:p>
            <w:r>
              <w:t>extracted-unverified</w:t>
            </w:r>
          </w:p>
        </w:tc>
      </w:tr>
      <w:tr>
        <w:tc>
          <w:tcPr>
            <w:tcW w:type="dxa" w:w="2880"/>
          </w:tcPr>
          <w:p>
            <w:r>
              <w:t>2.4 AFFE</w:t>
            </w:r>
          </w:p>
        </w:tc>
        <w:tc>
          <w:tcPr>
            <w:tcW w:type="dxa" w:w="3600"/>
          </w:tcPr>
          <w:p>
            <w:r>
              <w:t>AFFE 0.06%</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not applicable, the record states why</w:t>
            </w:r>
          </w:p>
        </w:tc>
        <w:tc>
          <w:tcPr>
            <w:tcW w:type="dxa" w:w="2880"/>
          </w:tcPr>
          <w:p>
            <w:r>
              <w:t>n/a - exchange-traded: no investor-level repurchase/redemption exists, so no early-repurchase fee is possible; exit is on-exchange sale at market price</w:t>
            </w:r>
          </w:p>
        </w:tc>
      </w:tr>
      <w:tr>
        <w:tc>
          <w:tcPr>
            <w:tcW w:type="dxa" w:w="2880"/>
          </w:tcPr>
          <w:p>
            <w:r>
              <w:t>6.4 Tax reporting (1099 vs K-1)</w:t>
            </w:r>
          </w:p>
        </w:tc>
        <w:tc>
          <w:tcPr>
            <w:tcW w:type="dxa" w:w="3600"/>
          </w:tcPr>
          <w:p>
            <w:r>
              <w:t>no typed fact for this cell</w:t>
            </w:r>
          </w:p>
        </w:tc>
        <w:tc>
          <w:tcPr>
            <w:tcW w:type="dxa" w:w="2880"/>
          </w:tcPr>
          <w:p>
            <w:r>
              <w:t>partial</w:t>
            </w:r>
          </w:p>
        </w:tc>
      </w:tr>
    </w:tbl>
    <w:p>
      <w:pPr>
        <w:pStyle w:val="Heading1"/>
      </w:pPr>
      <w:r>
        <w:t>Exhibit D. Peer cohort placement</w:t>
      </w:r>
    </w:p>
    <w:p>
      <w:r>
        <w:t>Cohort Pre-IPO / venture growth (listed CEF + listed BDC + interval fund) (n=3). Listed BDC (fka SuRo Capital) holding late-stage growth equity, the second market-priced venture vehicle. Gives dxyz a premium/discount comparable. Membership CONDITIONAL on strategy continuity through the Neostellar rename (verification queue).</w:t>
      </w:r>
    </w:p>
    <w:p>
      <w:r>
        <w:t>Cohort placement (pre-IPO and venture cohort): mgmt fee: below the cohort median of 2.5 (n=3, too small for percentile language) | expense ratio (bases differ, see notes): above the cohort median of 4.53 (n=3, too small for percentile language) | repurchase cap: fact unavailable for this member. Statistics and per-member values are in the cohort artifact, membership rationales in the typed facts.</w:t>
      </w:r>
    </w:p>
    <w:p>
      <w:pPr>
        <w:pStyle w:val="ListBullet"/>
      </w:pPr>
      <w:r>
        <w:t>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NAV-CADENCE MIX: daily, monthly, and quarterly NAV processes embed different appraisal smoothing. Volatility and drawdown comparisons inherit that difference (see de-smoothing lab). [typed per product: arkvx: daily, dxyz: quarterly, ssss: quarterly]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0, extracted-unverified 27, verified 0, computed 13, partial 4, fetched 1, n/a 10,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