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1.87 vs PSP (reference, not the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expense ratio, AFFE excluded (FY2026, Class I). 2.4 AFFE 0.59%.</w:t>
            </w:r>
          </w:p>
          <w:p>
            <w:r>
              <w:t>2.1 Management fee (rate AND base) (extracted-unverified): 1.40% annualized on daily NET ASSETS (contrast: PAF charges same 1.40% on MANAGED ASSETS incl. leverage —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3.6 $5.8B net assets. 3.9 structural verdict partial, plan-independent.</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primary benchmark: MSCI World Index.</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 Open-Ended Funds, 'Seasoned Investments' (funds already ~25% invested at closing) and stapled secondaries; (2) Co-Investments - direct equity in operating companies alongside lead Investment Managers (Fund holds minority/non-controlling positions); (3) Primary Investments -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Declared benchmark: MSCI World Index, held, scored 7/12, fails the strategy gate (strategy_match 1/3).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StepStone Private Markets</w:t>
            </w:r>
          </w:p>
        </w:tc>
        <w:tc>
          <w:tcPr>
            <w:tcW w:type="dxa" w:w="1337"/>
          </w:tcPr>
          <w:p>
            <w:r>
              <w:t>Hamilton Lane Private Assets Fund</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29.43%</w:t>
            </w:r>
          </w:p>
        </w:tc>
        <w:tc>
          <w:tcPr>
            <w:tcW w:type="dxa" w:w="1337"/>
          </w:tcPr>
          <w:p>
            <w:r>
              <w:t>20.77%</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8.23%</w:t>
            </w:r>
          </w:p>
        </w:tc>
        <w:tc>
          <w:tcPr>
            <w:tcW w:type="dxa" w:w="1337"/>
          </w:tcPr>
          <w:p>
            <w:r>
              <w:t>16.1%</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13.79%</w:t>
            </w:r>
          </w:p>
        </w:tc>
        <w:tc>
          <w:tcPr>
            <w:tcW w:type="dxa" w:w="1337"/>
          </w:tcPr>
          <w:p>
            <w:r>
              <w:t>12.68%</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10.76%</w:t>
            </w:r>
          </w:p>
        </w:tc>
        <w:tc>
          <w:tcPr>
            <w:tcW w:type="dxa" w:w="1337"/>
          </w:tcPr>
          <w:p>
            <w:r>
              <w:t>12.59%</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10.47%</w:t>
            </w:r>
          </w:p>
        </w:tc>
        <w:tc>
          <w:tcPr>
            <w:tcW w:type="dxa" w:w="1337"/>
          </w:tcPr>
          <w:p>
            <w:r>
              <w:t>14.6%</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$5.8B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$1.2B per year (20% of approx. $5.8B net assets, cell 3.6). The plan's demand at the filed rate is $3.3M per year, 0.28%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$5.8B net assets (cell 3.6) is $1.2B per year. At a 5% allocation ($28.3M) the plan's demand at the filed rate is $3.3M per year, 0.28%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3, fetched 1, n/a 13, pending 0. 42 of 42 resolvable, 0 verified, 13 n/a by wrapper.</w:t>
      </w:r>
    </w:p>
    <w:p>
      <w:r>
        <w:t>Of the 41 evidenced cells, 41 carry a source document, 40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1.12</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5.6</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