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Week 1: Introduction and Market </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Research &amp; Structured Product Pitching</w:t>
      </w:r>
    </w:p>
    <w:p w:rsidR="00000000" w:rsidDel="00000000" w:rsidP="00000000" w:rsidRDefault="00000000" w:rsidRPr="00000000" w14:paraId="00000003">
      <w:pPr>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righ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 CHEUK HIM (Oscar)     </w:t>
      </w:r>
    </w:p>
    <w:p w:rsidR="00000000" w:rsidDel="00000000" w:rsidP="00000000" w:rsidRDefault="00000000" w:rsidRPr="00000000" w14:paraId="00000005">
      <w:pPr>
        <w:jc w:val="right"/>
        <w:rPr>
          <w:sz w:val="18"/>
          <w:szCs w:val="18"/>
        </w:rPr>
      </w:pPr>
      <w:r w:rsidDel="00000000" w:rsidR="00000000" w:rsidRPr="00000000">
        <w:rPr>
          <w:rtl w:val="0"/>
        </w:rPr>
      </w:r>
    </w:p>
    <w:p w:rsidR="00000000" w:rsidDel="00000000" w:rsidP="00000000" w:rsidRDefault="00000000" w:rsidRPr="00000000" w14:paraId="00000006">
      <w:pPr>
        <w:rPr>
          <w:b w:val="1"/>
          <w:bCs w:val="1"/>
          <w:sz w:val="30"/>
          <w:szCs w:val="30"/>
          <w:u w:val="single"/>
        </w:rPr>
      </w:pPr>
      <w:r w:rsidDel="00000000" w:rsidR="00000000" w:rsidRPr="00000000">
        <w:rPr>
          <w:b w:val="1"/>
          <w:bCs w:val="1"/>
          <w:sz w:val="30"/>
          <w:szCs w:val="30"/>
          <w:u w:val="single"/>
          <w:rtl w:val="0"/>
        </w:rPr>
        <w:t xml:space="preserve">Current Market Trend: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There is a strong growth in insurance and demand of structured products, which has risen by 15% year-over-year as reported by </w:t>
      </w:r>
      <w:r w:rsidDel="00000000" w:rsidR="00000000" w:rsidRPr="00000000">
        <w:rPr>
          <w:color w:val="a61c00"/>
          <w:rtl w:val="0"/>
        </w:rPr>
        <w:t xml:space="preserve">Bloomberg Markets</w:t>
      </w:r>
      <w:r w:rsidDel="00000000" w:rsidR="00000000" w:rsidRPr="00000000">
        <w:rPr>
          <w:rtl w:val="0"/>
        </w:rPr>
        <w:t xml:space="preserve"> in 2024. The issuance amount also nearly doubled since 2021 and reached about 138.5 billion USD in 2025 year-to-date, indicating a significant demand </w:t>
      </w:r>
      <w:r w:rsidDel="00000000" w:rsidR="00000000" w:rsidRPr="00000000">
        <w:rPr>
          <w:color w:val="a61c00"/>
          <w:rtl w:val="0"/>
        </w:rPr>
        <w:t xml:space="preserve">(Stropro)</w:t>
      </w:r>
      <w:r w:rsidDel="00000000" w:rsidR="00000000" w:rsidRPr="00000000">
        <w:rPr>
          <w:rtl w:val="0"/>
        </w:rPr>
        <w:t xml:space="preserve"> especially in autocallables and ESG-linked offerings, with Goldman Sachs leading in ETF-linked notes and UBS excelling in private banking solutions. In Europe, </w:t>
      </w:r>
      <w:r w:rsidDel="00000000" w:rsidR="00000000" w:rsidRPr="00000000">
        <w:rPr>
          <w:color w:val="a61c00"/>
          <w:rtl w:val="0"/>
        </w:rPr>
        <w:t xml:space="preserve">Financial Times Markets Data</w:t>
      </w:r>
      <w:r w:rsidDel="00000000" w:rsidR="00000000" w:rsidRPr="00000000">
        <w:rPr>
          <w:rtl w:val="0"/>
        </w:rPr>
        <w:t xml:space="preserve"> notes that structured product volumes surpassed €50 billion in Q1 2024, with Germany and Switzerland as core markets. </w:t>
      </w:r>
      <w:r w:rsidDel="00000000" w:rsidR="00000000" w:rsidRPr="00000000">
        <w:rPr>
          <w:color w:val="a61c00"/>
          <w:rtl w:val="0"/>
        </w:rPr>
        <w:t xml:space="preserve">CNBC Investing</w:t>
      </w:r>
      <w:r w:rsidDel="00000000" w:rsidR="00000000" w:rsidRPr="00000000">
        <w:rPr>
          <w:rtl w:val="0"/>
        </w:rPr>
        <w:t xml:space="preserve"> highlights a 20% growth in U.S. retail structured product sales in 2023, driven by digital platforms offering simplified versions, alongside innovations from Morgan Stanley and JPMorgan in AI-personalized products. Also, the </w:t>
      </w:r>
      <w:r w:rsidDel="00000000" w:rsidR="00000000" w:rsidRPr="00000000">
        <w:rPr>
          <w:color w:val="a61c00"/>
          <w:rtl w:val="0"/>
        </w:rPr>
        <w:t xml:space="preserve">London Stock Exchange </w:t>
      </w:r>
      <w:r w:rsidDel="00000000" w:rsidR="00000000" w:rsidRPr="00000000">
        <w:rPr>
          <w:rtl w:val="0"/>
        </w:rPr>
        <w:t xml:space="preserve">reports a 12% increase in listed structured product issuances in 2024, where autocallables make up 40% of new listings, with HSBC, Societe Generale to be the most active issuers.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With</w:t>
      </w:r>
      <w:r w:rsidDel="00000000" w:rsidR="00000000" w:rsidRPr="00000000">
        <w:rPr>
          <w:rtl w:val="0"/>
        </w:rPr>
        <w:t xml:space="preserve"> recent uptrend of interest rates, inflation, tariffs and geopolitics </w:t>
      </w:r>
      <w:r w:rsidDel="00000000" w:rsidR="00000000" w:rsidRPr="00000000">
        <w:rPr>
          <w:color w:val="a61c00"/>
          <w:rtl w:val="0"/>
        </w:rPr>
        <w:t xml:space="preserve">(SRP)</w:t>
      </w:r>
      <w:r w:rsidDel="00000000" w:rsidR="00000000" w:rsidRPr="00000000">
        <w:rPr>
          <w:rtl w:val="0"/>
        </w:rPr>
        <w:t xml:space="preserve">, more investors, wanting defined payoffs instead of pure and uncertain market exposure, are pushed towards structured products that can shape risk and return more precisely </w:t>
      </w:r>
      <w:r w:rsidDel="00000000" w:rsidR="00000000" w:rsidRPr="00000000">
        <w:rPr>
          <w:color w:val="a61c00"/>
          <w:rtl w:val="0"/>
        </w:rPr>
        <w:t xml:space="preserve">(SRP, Stropro)</w:t>
      </w:r>
      <w:r w:rsidDel="00000000" w:rsidR="00000000" w:rsidRPr="00000000">
        <w:rPr>
          <w:rtl w:val="0"/>
        </w:rPr>
        <w:t xml:space="preserve">. For instance, issuance of products linked to inflation indices (CPI) or commodities have boosted as these hedges against the rising prices </w:t>
      </w:r>
      <w:r w:rsidDel="00000000" w:rsidR="00000000" w:rsidRPr="00000000">
        <w:rPr>
          <w:color w:val="a61c00"/>
          <w:rtl w:val="0"/>
        </w:rPr>
        <w:t xml:space="preserve">(Bloomberg, Yahoo Finance)</w:t>
      </w:r>
      <w:r w:rsidDel="00000000" w:rsidR="00000000" w:rsidRPr="00000000">
        <w:rPr>
          <w:rtl w:val="0"/>
        </w:rPr>
        <w:t xml:space="preserve">. Thus, structured products with capital protection features are now gaining popularity among risk-averse investors </w:t>
      </w:r>
      <w:r w:rsidDel="00000000" w:rsidR="00000000" w:rsidRPr="00000000">
        <w:rPr>
          <w:color w:val="a61c00"/>
          <w:rtl w:val="0"/>
        </w:rPr>
        <w:t xml:space="preserve">(Investor Chronicle, BBC Business News)</w:t>
      </w:r>
      <w:r w:rsidDel="00000000" w:rsidR="00000000" w:rsidRPr="00000000">
        <w:rPr>
          <w:rtl w:val="0"/>
        </w:rPr>
        <w:t xml:space="preserv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current uptrend demand of structured products are also driven by the increase use of technology in issuance and distribution of structured products, such as automation of documentation, application of digital platforms for price quotation, and better post-trade lifecycle tools. This makes advisers easier to customise structure and deliver tailored recommendations faster to clients </w:t>
      </w:r>
      <w:r w:rsidDel="00000000" w:rsidR="00000000" w:rsidRPr="00000000">
        <w:rPr>
          <w:color w:val="a61c00"/>
          <w:rtl w:val="0"/>
        </w:rPr>
        <w:t xml:space="preserve">(cliffordchance.com)</w:t>
      </w:r>
      <w:r w:rsidDel="00000000" w:rsidR="00000000" w:rsidRPr="00000000">
        <w:rPr>
          <w:rtl w:val="0"/>
        </w:rPr>
        <w:t xml:space="preserve">. Now with more retail investors, structured products are designed for them with more bespoke, simpler payoff structures, multi-asset solutions and digital distribution channels </w:t>
      </w:r>
      <w:r w:rsidDel="00000000" w:rsidR="00000000" w:rsidRPr="00000000">
        <w:rPr>
          <w:color w:val="a61c00"/>
          <w:rtl w:val="0"/>
        </w:rPr>
        <w:t xml:space="preserve">(Financial Times, Investor Chronicle, CNBC, Yahoo Finance)</w:t>
      </w:r>
      <w:r w:rsidDel="00000000" w:rsidR="00000000" w:rsidRPr="00000000">
        <w:rPr>
          <w:rtl w:val="0"/>
        </w:rPr>
        <w:t xml:space="preserv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spite of the rising trend and acceptance of structured products by investors, regulations on structured products has tightened recently. Updates around disclosure, risk warnings and public governance are continuous especially in Europe and Asia</w:t>
      </w:r>
      <w:r w:rsidDel="00000000" w:rsidR="00000000" w:rsidRPr="00000000">
        <w:rPr>
          <w:color w:val="a61c00"/>
          <w:rtl w:val="0"/>
        </w:rPr>
        <w:t xml:space="preserve"> (Simmons-simmon.com)</w:t>
      </w:r>
      <w:r w:rsidDel="00000000" w:rsidR="00000000" w:rsidRPr="00000000">
        <w:rPr>
          <w:rtl w:val="0"/>
        </w:rPr>
        <w:t xml:space="preserve">. The main reason is that structured products are complex and can lead to a significant or even total loss of capital if expected conditions are not met </w:t>
      </w:r>
      <w:r w:rsidDel="00000000" w:rsidR="00000000" w:rsidRPr="00000000">
        <w:rPr>
          <w:color w:val="a61c00"/>
          <w:rtl w:val="0"/>
        </w:rPr>
        <w:t xml:space="preserve">(London Stock Exchange)</w:t>
      </w:r>
      <w:r w:rsidDel="00000000" w:rsidR="00000000" w:rsidRPr="00000000">
        <w:rPr>
          <w:rtl w:val="0"/>
        </w:rPr>
        <w:t xml:space="preserve"> Thus, more and more regulators emphasise that structured products should mainly be sold to non-retail investors or retail only but with stronger suitability examination and clearer documentation</w:t>
      </w:r>
      <w:r w:rsidDel="00000000" w:rsidR="00000000" w:rsidRPr="00000000">
        <w:rPr>
          <w:color w:val="a61c00"/>
          <w:rtl w:val="0"/>
        </w:rPr>
        <w:t xml:space="preserve"> (HKEX, London Stock Exchange)</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30"/>
          <w:szCs w:val="30"/>
          <w:u w:val="single"/>
        </w:rPr>
      </w:pPr>
      <w:r w:rsidDel="00000000" w:rsidR="00000000" w:rsidRPr="00000000">
        <w:rPr>
          <w:b w:val="1"/>
          <w:bCs w:val="1"/>
          <w:sz w:val="30"/>
          <w:szCs w:val="30"/>
          <w:u w:val="single"/>
          <w:rtl w:val="0"/>
        </w:rPr>
        <w:t xml:space="preserve">Issuers of Structured Products: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600"/>
        <w:gridCol w:w="3029"/>
        <w:tblGridChange w:id="0">
          <w:tblGrid>
            <w:gridCol w:w="2400"/>
            <w:gridCol w:w="3600"/>
            <w:gridCol w:w="3029"/>
          </w:tblGrid>
        </w:tblGridChange>
      </w:tblGrid>
      <w:tr>
        <w:trPr>
          <w:cantSplit w:val="0"/>
          <w:trHeight w:val="58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Issuer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Structured Product Issued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Target Region</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Goldman Sachs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Autocallables, Equity-Linked Notes, ESG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Global</w:t>
            </w:r>
          </w:p>
        </w:tc>
      </w:tr>
      <w:tr>
        <w:trPr>
          <w:cantSplit w:val="0"/>
          <w:trHeight w:val="86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Morgan Stanley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 Protected Notes, Multi-Asset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Global</w:t>
            </w:r>
          </w:p>
        </w:tc>
      </w:tr>
      <w:tr>
        <w:trPr>
          <w:cantSplit w:val="0"/>
          <w:trHeight w:val="86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UBS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Yield Enhancement Products, Structured Deposits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Global</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Barclays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Range Accruals, FX Accumulators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UK/Global</w:t>
            </w:r>
          </w:p>
        </w:tc>
      </w:tr>
      <w:tr>
        <w:trPr>
          <w:cantSplit w:val="0"/>
          <w:trHeight w:val="8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HSBC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Dual Currency Deposits, Equity-Linked Investments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Asia/Global</w:t>
            </w:r>
          </w:p>
        </w:tc>
      </w:tr>
      <w:tr>
        <w:trPr>
          <w:cantSplit w:val="0"/>
          <w:trHeight w:val="86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JPMorgan 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Structured Notes, Commodity-Linked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Global</w:t>
            </w:r>
          </w:p>
        </w:tc>
      </w:tr>
      <w:tr>
        <w:trPr>
          <w:cantSplit w:val="0"/>
          <w:trHeight w:val="84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Deutsche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Interest Rate Derivatives, Inflation-Linked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Europe/Global</w:t>
            </w:r>
          </w:p>
        </w:tc>
      </w:tr>
      <w:tr>
        <w:trPr>
          <w:cantSplit w:val="0"/>
          <w:trHeight w:val="89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BNP Paribas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 Guaranteed Products, ESG Autocallables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Europe/Global</w:t>
            </w:r>
          </w:p>
        </w:tc>
      </w:tr>
      <w:tr>
        <w:trPr>
          <w:cantSplit w:val="0"/>
          <w:trHeight w:val="86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Citigroup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FX-Linked Notes, Cross-Border Structured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Global</w:t>
            </w:r>
          </w:p>
        </w:tc>
      </w:tr>
      <w:tr>
        <w:trPr>
          <w:cantSplit w:val="0"/>
          <w:trHeight w:val="86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Société Générale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Equity derivatives, autocallables, capital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Europe</w:t>
            </w:r>
          </w:p>
        </w:tc>
      </w:tr>
      <w:tr>
        <w:trPr>
          <w:cantSplit w:val="0"/>
          <w:trHeight w:val="86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Standard Chartered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FX and Rates structures for corporate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Asia</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bCs w:val="1"/>
          <w:sz w:val="28"/>
          <w:szCs w:val="28"/>
          <w:u w:val="single"/>
        </w:rPr>
      </w:pPr>
      <w:r w:rsidDel="00000000" w:rsidR="00000000" w:rsidRPr="00000000">
        <w:rPr>
          <w:b w:val="1"/>
          <w:bCs w:val="1"/>
          <w:sz w:val="28"/>
          <w:szCs w:val="28"/>
          <w:u w:val="single"/>
          <w:rtl w:val="0"/>
        </w:rPr>
        <w:t xml:space="preserve">Analysis of Product Offerings, Pricing Strategies and Reputation:</w:t>
      </w:r>
    </w:p>
    <w:p w:rsidR="00000000" w:rsidDel="00000000" w:rsidP="00000000" w:rsidRDefault="00000000" w:rsidRPr="00000000" w14:paraId="0000003A">
      <w:pPr>
        <w:rPr>
          <w:b w:val="1"/>
          <w:bCs w:val="1"/>
          <w:sz w:val="28"/>
          <w:szCs w:val="28"/>
          <w:u w:val="singl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625"/>
        <w:gridCol w:w="2520"/>
        <w:gridCol w:w="2595"/>
        <w:tblGridChange w:id="0">
          <w:tblGrid>
            <w:gridCol w:w="1260"/>
            <w:gridCol w:w="2625"/>
            <w:gridCol w:w="2520"/>
            <w:gridCol w:w="259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sz w:val="24"/>
                <w:szCs w:val="24"/>
              </w:rPr>
            </w:pPr>
            <w:r w:rsidDel="00000000" w:rsidR="00000000" w:rsidRPr="00000000">
              <w:rPr>
                <w:b w:val="1"/>
                <w:bCs w:val="1"/>
                <w:sz w:val="24"/>
                <w:szCs w:val="24"/>
                <w:rtl w:val="0"/>
              </w:rPr>
              <w:t xml:space="preserve">Issuer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sz w:val="24"/>
                <w:szCs w:val="24"/>
              </w:rPr>
            </w:pPr>
            <w:r w:rsidDel="00000000" w:rsidR="00000000" w:rsidRPr="00000000">
              <w:rPr>
                <w:b w:val="1"/>
                <w:bCs w:val="1"/>
                <w:sz w:val="24"/>
                <w:szCs w:val="24"/>
                <w:rtl w:val="0"/>
              </w:rPr>
              <w:t xml:space="preserve">Product Offerings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24"/>
                <w:szCs w:val="24"/>
              </w:rPr>
            </w:pPr>
            <w:r w:rsidDel="00000000" w:rsidR="00000000" w:rsidRPr="00000000">
              <w:rPr>
                <w:b w:val="1"/>
                <w:bCs w:val="1"/>
                <w:sz w:val="24"/>
                <w:szCs w:val="24"/>
                <w:rtl w:val="0"/>
              </w:rPr>
              <w:t xml:space="preserve">Pricing Strategy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24"/>
                <w:szCs w:val="24"/>
              </w:rPr>
            </w:pPr>
            <w:r w:rsidDel="00000000" w:rsidR="00000000" w:rsidRPr="00000000">
              <w:rPr>
                <w:b w:val="1"/>
                <w:bCs w:val="1"/>
                <w:sz w:val="24"/>
                <w:szCs w:val="24"/>
                <w:rtl w:val="0"/>
              </w:rPr>
              <w:t xml:space="preserve">Market Reputation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Goldman Sachs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 Leading issuer of autocallables linked to tech stocks (Bloomberg, 2024)</w:t>
            </w:r>
          </w:p>
          <w:p w:rsidR="00000000" w:rsidDel="00000000" w:rsidP="00000000" w:rsidRDefault="00000000" w:rsidRPr="00000000" w14:paraId="000000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 ESG-linked structured notes gaining traction (Financial Times, 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 Premium pricing due to strong branding and structuring expertise (CNBC, “Luxury Structured Products,” 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- 1st rank in structured note issuance in the U.S. (Bloomberg League Tables, Q1 2024) </w:t>
            </w:r>
          </w:p>
          <w:p w:rsidR="00000000" w:rsidDel="00000000" w:rsidP="00000000" w:rsidRDefault="00000000" w:rsidRPr="00000000" w14:paraId="000000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 Highly rated for derivatives innovation (Financial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Morgan Stanley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 Major player in capital-protected notes for HNW clients (Investor Chronicle, 2024)</w:t>
            </w:r>
          </w:p>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 Expanding into AI-personalized structured products (CNBC,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 Competitive pricing in U.S. retail structured products (Yahoo Finance, 2023) </w:t>
            </w:r>
          </w:p>
          <w:p w:rsidR="00000000" w:rsidDel="00000000" w:rsidP="00000000" w:rsidRDefault="00000000" w:rsidRPr="00000000" w14:paraId="0000004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 Uses in-house platforms for cost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 Strong reputation in wealth management; widely trusted in U.S. and Europe (BBC Business, “Wealth Giants,”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 Dominates private banking structured solutions (Financial Times, Mar 2024) </w:t>
            </w:r>
          </w:p>
          <w:p w:rsidR="00000000" w:rsidDel="00000000" w:rsidP="00000000" w:rsidRDefault="00000000" w:rsidRPr="00000000" w14:paraId="000000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 Key issuer of yield enhancement products in Europe &amp; Asia (Bloomberg)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 Value-based pricing model; often includes advisory fees (CNBC, “UBS Wealth,”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 Seen as safe and reliable post-Credit Suisse merger (BBC, 2024) </w:t>
            </w:r>
          </w:p>
          <w:p w:rsidR="00000000" w:rsidDel="00000000" w:rsidP="00000000" w:rsidRDefault="00000000" w:rsidRPr="00000000" w14:paraId="000000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 High client satisfaction in structured deposits (Investor Chronicle)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Barclays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 Leading LSE-listed autocallables &amp; range accruals (LSE Structured Products Data, 2024)</w:t>
            </w:r>
          </w:p>
          <w:p w:rsidR="00000000" w:rsidDel="00000000" w:rsidP="00000000" w:rsidRDefault="00000000" w:rsidRPr="00000000" w14:paraId="0000005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 Strong in rates and FX accumulators (Bloomberg)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 Aggressive pricing in UK retail structured products (Investor Chronicle,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 Long-established UK leader; strong derivatives desk (Financial Times)   </w:t>
            </w:r>
          </w:p>
          <w:p w:rsidR="00000000" w:rsidDel="00000000" w:rsidP="00000000" w:rsidRDefault="00000000" w:rsidRPr="00000000" w14:paraId="0000005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 Highly rated for transparency in retail products</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550"/>
        <w:gridCol w:w="2415"/>
        <w:gridCol w:w="2715"/>
        <w:tblGridChange w:id="0">
          <w:tblGrid>
            <w:gridCol w:w="1320"/>
            <w:gridCol w:w="2550"/>
            <w:gridCol w:w="2415"/>
            <w:gridCol w:w="271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sz w:val="24"/>
                <w:szCs w:val="24"/>
              </w:rPr>
            </w:pPr>
            <w:r w:rsidDel="00000000" w:rsidR="00000000" w:rsidRPr="00000000">
              <w:rPr>
                <w:b w:val="1"/>
                <w:bCs w:val="1"/>
                <w:sz w:val="24"/>
                <w:szCs w:val="24"/>
                <w:rtl w:val="0"/>
              </w:rPr>
              <w:t xml:space="preserve">Issuer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sz w:val="24"/>
                <w:szCs w:val="24"/>
              </w:rPr>
            </w:pPr>
            <w:r w:rsidDel="00000000" w:rsidR="00000000" w:rsidRPr="00000000">
              <w:rPr>
                <w:b w:val="1"/>
                <w:bCs w:val="1"/>
                <w:sz w:val="24"/>
                <w:szCs w:val="24"/>
                <w:rtl w:val="0"/>
              </w:rPr>
              <w:t xml:space="preserve">Product Offerings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sz w:val="24"/>
                <w:szCs w:val="24"/>
              </w:rPr>
            </w:pPr>
            <w:r w:rsidDel="00000000" w:rsidR="00000000" w:rsidRPr="00000000">
              <w:rPr>
                <w:b w:val="1"/>
                <w:bCs w:val="1"/>
                <w:sz w:val="24"/>
                <w:szCs w:val="24"/>
                <w:rtl w:val="0"/>
              </w:rPr>
              <w:t xml:space="preserve">Pricing Strategy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sz w:val="24"/>
                <w:szCs w:val="24"/>
              </w:rPr>
            </w:pPr>
            <w:r w:rsidDel="00000000" w:rsidR="00000000" w:rsidRPr="00000000">
              <w:rPr>
                <w:b w:val="1"/>
                <w:bCs w:val="1"/>
                <w:sz w:val="24"/>
                <w:szCs w:val="24"/>
                <w:rtl w:val="0"/>
              </w:rPr>
              <w:t xml:space="preserve">Market Reputation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 Top provider of dual currency deposits in Asia (Yahoo Finance, 2024)</w:t>
            </w:r>
          </w:p>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 Active in RMB and HKD-linked structured notes (Bloomberg Markets Asia)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 Competitive FX deposit pricing</w:t>
            </w:r>
          </w:p>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 Often undercuts peers (CNBC Asia, 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 Most trusted bank for FX solutions in Asia (BBC Business Asia)</w:t>
            </w:r>
          </w:p>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 Strong corporate and retail distribution network (Yahoo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JPMorgan 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 Major issuer of structured notes in U.S. (SEC filings, reported by CNBC)  </w:t>
            </w:r>
          </w:p>
          <w:p w:rsidR="00000000" w:rsidDel="00000000" w:rsidP="00000000" w:rsidRDefault="00000000" w:rsidRPr="00000000" w14:paraId="0000007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 Launching commodity-linked certificates (Bloomberg,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 Premium pricing; targets institutional and accredited investors (Financial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 Top-tier reputation for safety and innovation (BBC, “Most Admired Banks,” 2023)</w:t>
            </w:r>
          </w:p>
          <w:p w:rsidR="00000000" w:rsidDel="00000000" w:rsidP="00000000" w:rsidRDefault="00000000" w:rsidRPr="00000000" w14:paraId="0000007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 Strong in ESG and crypto-linked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Deutsche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 Leader in inflation-linked notes and interest rate derivatives (Financial Times, 2024)</w:t>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 Strong institutional structured solutions (Bloomberg)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 Competitive pricing in Europe; rebuilding market share (CNBC 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 Historically strong in derivatives; regained trust post-restructuring (BBC,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BNP Paribas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 Major European issuer of capital guaranteed products and ESG autocallables (LSE Data, 2024)</w:t>
            </w:r>
          </w:p>
          <w:p w:rsidR="00000000" w:rsidDel="00000000" w:rsidP="00000000" w:rsidRDefault="00000000" w:rsidRPr="00000000" w14:paraId="000000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 Strong retail certificate offerings (Investor Chronicle)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 Mid-market pricing; strong in retail and private banking (Financial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 Reliable and well-capitalized</w:t>
            </w:r>
          </w:p>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 strong in France and Benelux (BBC Business)</w:t>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505"/>
        <w:gridCol w:w="2430"/>
        <w:gridCol w:w="2775"/>
        <w:tblGridChange w:id="0">
          <w:tblGrid>
            <w:gridCol w:w="1290"/>
            <w:gridCol w:w="2505"/>
            <w:gridCol w:w="2430"/>
            <w:gridCol w:w="277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4"/>
                <w:szCs w:val="24"/>
              </w:rPr>
            </w:pPr>
            <w:r w:rsidDel="00000000" w:rsidR="00000000" w:rsidRPr="00000000">
              <w:rPr>
                <w:b w:val="1"/>
                <w:bCs w:val="1"/>
                <w:sz w:val="24"/>
                <w:szCs w:val="24"/>
                <w:rtl w:val="0"/>
              </w:rPr>
              <w:t xml:space="preserve">Issuer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4"/>
                <w:szCs w:val="24"/>
              </w:rPr>
            </w:pPr>
            <w:r w:rsidDel="00000000" w:rsidR="00000000" w:rsidRPr="00000000">
              <w:rPr>
                <w:b w:val="1"/>
                <w:bCs w:val="1"/>
                <w:sz w:val="24"/>
                <w:szCs w:val="24"/>
                <w:rtl w:val="0"/>
              </w:rPr>
              <w:t xml:space="preserve">Product Offerings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sz w:val="24"/>
                <w:szCs w:val="24"/>
              </w:rPr>
            </w:pPr>
            <w:r w:rsidDel="00000000" w:rsidR="00000000" w:rsidRPr="00000000">
              <w:rPr>
                <w:b w:val="1"/>
                <w:bCs w:val="1"/>
                <w:sz w:val="24"/>
                <w:szCs w:val="24"/>
                <w:rtl w:val="0"/>
              </w:rPr>
              <w:t xml:space="preserve">Pricing Strategy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r w:rsidDel="00000000" w:rsidR="00000000" w:rsidRPr="00000000">
              <w:rPr>
                <w:b w:val="1"/>
                <w:bCs w:val="1"/>
                <w:sz w:val="24"/>
                <w:szCs w:val="24"/>
                <w:rtl w:val="0"/>
              </w:rPr>
              <w:t xml:space="preserve">Market Reputation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Prominent in FX-linked notes and cross-border structured deposits (Bloomberg FX, 2024)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Active in emerging market structures (CNBC)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Competitive in corporate treasury solutions (Financial Times, “Citi Treasury”)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Trusted global network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strong in corporate and institutional FX (Yahoo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Société Générale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Leading European issuer of autocallables linked to equity indices (Bloomberg, 2024)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Strong range of capital-protected retail certificates (LSE Structured Products Data, Q1 2024)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Active in ESG-linked autocallable notes (Financial Times, 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Competitive pricing in European retail structured products (Investor Chronicle, 2024)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Often uses equity derivatives desk for cost-efficient structuring (CNBC 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Well-regarded as a top-tier equity derivatives house in Europe (Financial Times)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Trusted issuer in France and Benelux for retail structured products (BBC Business Europe)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Standard Chartered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Focus on FX/rates structured deposits in Asia and Africa (Bloomberg Markets, 2024)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Emerging market linked notes (CNBC Asia)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Competitive pricing in emerging markets (Yahoo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Strong reputation in Asia and Africa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Trusted for cross-border solutions (BBC Business Global)</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sz w:val="30"/>
          <w:szCs w:val="30"/>
          <w:u w:val="single"/>
        </w:rPr>
      </w:pPr>
      <w:r w:rsidDel="00000000" w:rsidR="00000000" w:rsidRPr="00000000">
        <w:rPr>
          <w:b w:val="1"/>
          <w:bCs w:val="1"/>
          <w:sz w:val="30"/>
          <w:szCs w:val="30"/>
          <w:u w:val="single"/>
          <w:rtl w:val="0"/>
        </w:rPr>
        <w:t xml:space="preserve">Professional Clients of Structured Products: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775"/>
        <w:gridCol w:w="3495"/>
        <w:tblGridChange w:id="0">
          <w:tblGrid>
            <w:gridCol w:w="2745"/>
            <w:gridCol w:w="2775"/>
            <w:gridCol w:w="3495"/>
          </w:tblGrid>
        </w:tblGridChange>
      </w:tblGrid>
      <w:tr>
        <w:trPr>
          <w:cantSplit w:val="0"/>
          <w:trHeight w:val="79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Professional Client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Investment Amount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Structured Products Type</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Private Banks &amp; Wealth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$1M –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Autocallables, Capital Protected Notes, ELNs</w:t>
            </w:r>
          </w:p>
        </w:tc>
      </w:tr>
      <w:tr>
        <w:trPr>
          <w:cantSplit w:val="0"/>
          <w:trHeight w:val="152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Institutional Investors (Pension Funds, Insurance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$10M – $1B+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Inflation-Linked Notes, Long-Dated Structures</w:t>
            </w:r>
          </w:p>
        </w:tc>
      </w:tr>
      <w:tr>
        <w:trPr>
          <w:cantSplit w:val="0"/>
          <w:trHeight w:val="120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Family Offices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$5M – $500M+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Bespoke Multi-Asset Solutions, ESG-Linked Products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Corporate Treasuries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$500K – $50M+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Dual Currency Deposits, FX Hedging Structures</w:t>
            </w:r>
          </w:p>
        </w:tc>
      </w:tr>
      <w:tr>
        <w:trPr>
          <w:cantSplit w:val="0"/>
          <w:trHeight w:val="121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Hedge Funds &amp; Asset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$10M – $500M+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Leveraged/Volatility Products, Credit-Linked Notes</w:t>
            </w:r>
          </w:p>
        </w:tc>
      </w:tr>
      <w:tr>
        <w:trPr>
          <w:cantSplit w:val="0"/>
          <w:trHeight w:val="120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High-Net-Worth Individuals (via advisors)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$250K – $10M+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Simpler Autocallables, Capital Protected Certificates</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rPr>
          <w:b w:val="1"/>
          <w:bCs w:val="1"/>
          <w:sz w:val="30"/>
          <w:szCs w:val="30"/>
          <w:u w:val="single"/>
        </w:rPr>
      </w:pPr>
      <w:r w:rsidDel="00000000" w:rsidR="00000000" w:rsidRPr="00000000">
        <w:rPr>
          <w:b w:val="1"/>
          <w:bCs w:val="1"/>
          <w:sz w:val="30"/>
          <w:szCs w:val="30"/>
          <w:u w:val="single"/>
          <w:rtl w:val="0"/>
        </w:rPr>
        <w:t xml:space="preserve">Selected Structured Products Information: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Equity-Linked Notes (ELNs)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Equity-Linked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debt instrument whose return is linked to the performance of a single stock, a basket of stocks, or an equity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Principal may be fully, partially, or not protected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Participation rate determines exposure to upside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Fixed maturity (typically 1–5 years)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Payoff formula based on underlying asset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Potential for equity-like returns with defined risk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Customizable exposure to specific sectors/themes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Can include capital protection features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Often offer higher yield than direct bonds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Credit risk of the issuer (if bank defaults, principal may be lost)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Limited liquidity in secondary market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Complexity in payoff structure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Potential loss of principal if unprotected and market declines</w:t>
            </w:r>
          </w:p>
        </w:tc>
      </w:tr>
    </w:tbl>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sz w:val="24"/>
                <w:szCs w:val="24"/>
              </w:rPr>
            </w:pPr>
            <w:r w:rsidDel="00000000" w:rsidR="00000000" w:rsidRPr="00000000">
              <w:rPr>
                <w:b w:val="1"/>
                <w:bCs w:val="1"/>
                <w:sz w:val="24"/>
                <w:szCs w:val="24"/>
                <w:rtl w:val="0"/>
              </w:rPr>
              <w:t xml:space="preserve">Interest Rate Caps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sz w:val="24"/>
                <w:szCs w:val="24"/>
              </w:rPr>
            </w:pPr>
            <w:r w:rsidDel="00000000" w:rsidR="00000000" w:rsidRPr="00000000">
              <w:rPr>
                <w:b w:val="1"/>
                <w:bCs w:val="1"/>
                <w:sz w:val="24"/>
                <w:szCs w:val="24"/>
                <w:rtl w:val="0"/>
              </w:rPr>
              <w:t xml:space="preserve">Interest Rate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sz w:val="24"/>
                <w:szCs w:val="24"/>
              </w:rPr>
            </w:pPr>
            <w:r w:rsidDel="00000000" w:rsidR="00000000" w:rsidRPr="00000000">
              <w:rPr>
                <w:b w:val="1"/>
                <w:bCs w:val="1"/>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A derivative contract that provides the buyer with protection against rising interest rates by setting a maximum (“cap”) rate on a floating-rate 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sz w:val="24"/>
                <w:szCs w:val="24"/>
              </w:rPr>
            </w:pPr>
            <w:r w:rsidDel="00000000" w:rsidR="00000000" w:rsidRPr="00000000">
              <w:rPr>
                <w:b w:val="1"/>
                <w:bCs w:val="1"/>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 Premium paid upfront or periodically</w:t>
            </w:r>
          </w:p>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 Cap strike rate set above current rates</w:t>
            </w:r>
          </w:p>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 Settles periodically if reference rate exceeds cap</w:t>
            </w:r>
          </w:p>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 Typically referenced to LIBOR, SOFR, HIBOR,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sz w:val="24"/>
                <w:szCs w:val="24"/>
              </w:rPr>
            </w:pPr>
            <w:r w:rsidDel="00000000" w:rsidR="00000000" w:rsidRPr="00000000">
              <w:rPr>
                <w:b w:val="1"/>
                <w:bCs w:val="1"/>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 Limits interest expense for borrowers</w:t>
            </w:r>
          </w:p>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 Flexible tenor and notional amounts</w:t>
            </w:r>
          </w:p>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 Can be combined with floors for a “collar”</w:t>
            </w:r>
          </w:p>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 Provides budget certainty in rising rate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sz w:val="24"/>
                <w:szCs w:val="24"/>
              </w:rPr>
            </w:pPr>
            <w:r w:rsidDel="00000000" w:rsidR="00000000" w:rsidRPr="00000000">
              <w:rPr>
                <w:b w:val="1"/>
                <w:bCs w:val="1"/>
                <w:sz w:val="24"/>
                <w:szCs w:val="24"/>
                <w:rtl w:val="0"/>
              </w:rPr>
              <w:t xml:space="preserve">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 Premium cost can be high in volatile rate markets</w:t>
            </w:r>
          </w:p>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 No benefit if rates stay below the cap</w:t>
            </w:r>
          </w:p>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 Counterparty risk with the seller (usually a bank)</w:t>
            </w:r>
          </w:p>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 Requires understanding of rate projections</w:t>
            </w:r>
          </w:p>
        </w:tc>
      </w:tr>
    </w:tbl>
    <w:p w:rsidR="00000000" w:rsidDel="00000000" w:rsidP="00000000" w:rsidRDefault="00000000" w:rsidRPr="00000000" w14:paraId="000000F8">
      <w:pPr>
        <w:rPr>
          <w:sz w:val="24"/>
          <w:szCs w:val="24"/>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sz w:val="24"/>
                <w:szCs w:val="24"/>
              </w:rPr>
            </w:pPr>
            <w:r w:rsidDel="00000000" w:rsidR="00000000" w:rsidRPr="00000000">
              <w:rPr>
                <w:b w:val="1"/>
                <w:bCs w:val="1"/>
                <w:sz w:val="24"/>
                <w:szCs w:val="24"/>
                <w:rtl w:val="0"/>
              </w:rPr>
              <w:t xml:space="preserve">Dual Currency Deposits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sz w:val="24"/>
                <w:szCs w:val="24"/>
              </w:rPr>
            </w:pPr>
            <w:r w:rsidDel="00000000" w:rsidR="00000000" w:rsidRPr="00000000">
              <w:rPr>
                <w:b w:val="1"/>
                <w:bCs w:val="1"/>
                <w:sz w:val="24"/>
                <w:szCs w:val="24"/>
                <w:rtl w:val="0"/>
              </w:rPr>
              <w:t xml:space="preserve">Foreign Exchange (FX)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sz w:val="24"/>
                <w:szCs w:val="24"/>
              </w:rPr>
            </w:pPr>
            <w:r w:rsidDel="00000000" w:rsidR="00000000" w:rsidRPr="00000000">
              <w:rPr>
                <w:b w:val="1"/>
                <w:bCs w:val="1"/>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A fixed-term deposit held in one currency with interest and principal repayable in either the original or an alternate currency, based on pre-agreed exchange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sz w:val="24"/>
                <w:szCs w:val="24"/>
              </w:rPr>
            </w:pPr>
            <w:r w:rsidDel="00000000" w:rsidR="00000000" w:rsidRPr="00000000">
              <w:rPr>
                <w:b w:val="1"/>
                <w:bCs w:val="1"/>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 Enhanced interest rate compared to standard deposits</w:t>
            </w:r>
          </w:p>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 Conversion rate (strike) fixed at inception</w:t>
            </w:r>
          </w:p>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 Two possible payout currencies at maturity</w:t>
            </w:r>
          </w:p>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 Common pairs: USD/CNH, EUR/USD, USD/HKD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sz w:val="24"/>
                <w:szCs w:val="24"/>
              </w:rPr>
            </w:pPr>
            <w:r w:rsidDel="00000000" w:rsidR="00000000" w:rsidRPr="00000000">
              <w:rPr>
                <w:b w:val="1"/>
                <w:bCs w:val="1"/>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 Higher yield opportunity</w:t>
            </w:r>
          </w:p>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 Allows investors to express a currency view</w:t>
            </w:r>
          </w:p>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 Short-term commitment (1–12 months typical)</w:t>
            </w:r>
          </w:p>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 Can be used for corporate treasury yield enhancement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sz w:val="24"/>
                <w:szCs w:val="24"/>
              </w:rPr>
            </w:pPr>
            <w:r w:rsidDel="00000000" w:rsidR="00000000" w:rsidRPr="00000000">
              <w:rPr>
                <w:b w:val="1"/>
                <w:bCs w:val="1"/>
                <w:sz w:val="24"/>
                <w:szCs w:val="24"/>
                <w:rtl w:val="0"/>
              </w:rPr>
              <w:t xml:space="preserve">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 Currency risk receive repayment in a depreciated currency</w:t>
            </w:r>
          </w:p>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 No capital protection if FX moves unfavorably</w:t>
            </w:r>
          </w:p>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 Early withdrawal usually not permitted</w:t>
            </w:r>
          </w:p>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 Requires active view on FX movements</w:t>
            </w:r>
          </w:p>
        </w:tc>
      </w:tr>
    </w:tbl>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sz w:val="24"/>
                <w:szCs w:val="24"/>
              </w:rPr>
            </w:pPr>
            <w:r w:rsidDel="00000000" w:rsidR="00000000" w:rsidRPr="00000000">
              <w:rPr>
                <w:b w:val="1"/>
                <w:bCs w:val="1"/>
                <w:sz w:val="24"/>
                <w:szCs w:val="24"/>
                <w:rtl w:val="0"/>
              </w:rPr>
              <w:t xml:space="preserve">Gold-Linked Certificates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sz w:val="24"/>
                <w:szCs w:val="24"/>
              </w:rPr>
            </w:pPr>
            <w:r w:rsidDel="00000000" w:rsidR="00000000" w:rsidRPr="00000000">
              <w:rPr>
                <w:b w:val="1"/>
                <w:bCs w:val="1"/>
                <w:sz w:val="24"/>
                <w:szCs w:val="24"/>
                <w:rtl w:val="0"/>
              </w:rPr>
              <w:t xml:space="preserve">Commodity-Linked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sz w:val="24"/>
                <w:szCs w:val="24"/>
              </w:rPr>
            </w:pPr>
            <w:r w:rsidDel="00000000" w:rsidR="00000000" w:rsidRPr="00000000">
              <w:rPr>
                <w:b w:val="1"/>
                <w:bCs w:val="1"/>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A securitized investment whose returns are linked to the price performance of gold, often with capital protection or leveraged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sz w:val="24"/>
                <w:szCs w:val="24"/>
              </w:rPr>
            </w:pPr>
            <w:r w:rsidDel="00000000" w:rsidR="00000000" w:rsidRPr="00000000">
              <w:rPr>
                <w:b w:val="1"/>
                <w:bCs w:val="1"/>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 Return linked to spot gold price or gold futures</w:t>
            </w:r>
          </w:p>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 May include capital protection (full or partial)</w:t>
            </w:r>
          </w:p>
          <w:p w:rsidR="00000000" w:rsidDel="00000000" w:rsidP="00000000" w:rsidRDefault="00000000" w:rsidRPr="00000000" w14:paraId="0000011A">
            <w:pPr>
              <w:widowControl w:val="0"/>
              <w:spacing w:line="240" w:lineRule="auto"/>
              <w:rPr>
                <w:sz w:val="24"/>
                <w:szCs w:val="24"/>
              </w:rPr>
            </w:pPr>
            <w:r w:rsidDel="00000000" w:rsidR="00000000" w:rsidRPr="00000000">
              <w:rPr>
                <w:sz w:val="24"/>
                <w:szCs w:val="24"/>
                <w:rtl w:val="0"/>
              </w:rPr>
              <w:t xml:space="preserve">· No physical storage required</w:t>
            </w:r>
          </w:p>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 Can offer participation rates above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sz w:val="24"/>
                <w:szCs w:val="24"/>
              </w:rPr>
            </w:pPr>
            <w:r w:rsidDel="00000000" w:rsidR="00000000" w:rsidRPr="00000000">
              <w:rPr>
                <w:b w:val="1"/>
                <w:bCs w:val="1"/>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 Inflation and crisis hedge</w:t>
            </w:r>
          </w:p>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 Portfolio diversification</w:t>
            </w:r>
          </w:p>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 Access to gold without physical ownership</w:t>
            </w:r>
          </w:p>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 Possible capital preservation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4"/>
                <w:szCs w:val="24"/>
              </w:rPr>
            </w:pPr>
            <w:r w:rsidDel="00000000" w:rsidR="00000000" w:rsidRPr="00000000">
              <w:rPr>
                <w:b w:val="1"/>
                <w:bCs w:val="1"/>
                <w:sz w:val="24"/>
                <w:szCs w:val="24"/>
                <w:rtl w:val="0"/>
              </w:rPr>
              <w:t xml:space="preserve">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 Gold price volatility can lead to losses</w:t>
            </w:r>
          </w:p>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 Credit risk of issuing institution</w:t>
            </w:r>
          </w:p>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 Lower liquidity than ETFs or physical gold</w:t>
            </w:r>
          </w:p>
          <w:p w:rsidR="00000000" w:rsidDel="00000000" w:rsidP="00000000" w:rsidRDefault="00000000" w:rsidRPr="00000000" w14:paraId="00000125">
            <w:pPr>
              <w:widowControl w:val="0"/>
              <w:spacing w:line="240" w:lineRule="auto"/>
              <w:rPr>
                <w:sz w:val="24"/>
                <w:szCs w:val="24"/>
              </w:rPr>
            </w:pPr>
            <w:r w:rsidDel="00000000" w:rsidR="00000000" w:rsidRPr="00000000">
              <w:rPr>
                <w:sz w:val="24"/>
                <w:szCs w:val="24"/>
                <w:rtl w:val="0"/>
              </w:rPr>
              <w:t xml:space="preserve">· May underperform in strong equity markets</w:t>
            </w:r>
          </w:p>
        </w:tc>
      </w:tr>
    </w:tbl>
    <w:p w:rsidR="00000000" w:rsidDel="00000000" w:rsidP="00000000" w:rsidRDefault="00000000" w:rsidRPr="00000000" w14:paraId="00000126">
      <w:pPr>
        <w:rPr>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sz w:val="24"/>
                <w:szCs w:val="24"/>
              </w:rPr>
            </w:pPr>
            <w:r w:rsidDel="00000000" w:rsidR="00000000" w:rsidRPr="00000000">
              <w:rPr>
                <w:b w:val="1"/>
                <w:bCs w:val="1"/>
                <w:sz w:val="24"/>
                <w:szCs w:val="24"/>
                <w:rtl w:val="0"/>
              </w:rPr>
              <w:t xml:space="preserve">Autocallable Notes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4"/>
                <w:szCs w:val="24"/>
              </w:rPr>
            </w:pPr>
            <w:r w:rsidDel="00000000" w:rsidR="00000000" w:rsidRPr="00000000">
              <w:rPr>
                <w:b w:val="1"/>
                <w:bCs w:val="1"/>
                <w:sz w:val="24"/>
                <w:szCs w:val="24"/>
                <w:rtl w:val="0"/>
              </w:rPr>
              <w:t xml:space="preserve">Hybrid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4"/>
                <w:szCs w:val="24"/>
              </w:rPr>
            </w:pPr>
            <w:r w:rsidDel="00000000" w:rsidR="00000000" w:rsidRPr="00000000">
              <w:rPr>
                <w:b w:val="1"/>
                <w:bCs w:val="1"/>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A structured note that automatically redeems early (“autocalls”) if the underlying asset meets predefined performance conditions on specified observation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sz w:val="24"/>
                <w:szCs w:val="24"/>
              </w:rPr>
            </w:pPr>
            <w:r w:rsidDel="00000000" w:rsidR="00000000" w:rsidRPr="00000000">
              <w:rPr>
                <w:b w:val="1"/>
                <w:bCs w:val="1"/>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 Autocall triggers (e.g., if stock closes at/above initial price)</w:t>
            </w:r>
          </w:p>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tl w:val="0"/>
              </w:rPr>
              <w:t xml:space="preserve">· Periodic coupon payments until autocall or maturity</w:t>
            </w:r>
          </w:p>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 May include memory coupon features</w:t>
            </w:r>
          </w:p>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 Often linked to equities or equity indices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sz w:val="24"/>
                <w:szCs w:val="24"/>
              </w:rPr>
            </w:pPr>
            <w:r w:rsidDel="00000000" w:rsidR="00000000" w:rsidRPr="00000000">
              <w:rPr>
                <w:b w:val="1"/>
                <w:bCs w:val="1"/>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 Potential for early return of principal with profit</w:t>
            </w:r>
          </w:p>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 High coupon rates compared to vanilla bonds</w:t>
            </w:r>
          </w:p>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 Defined maturity and payoff scenarios</w:t>
            </w:r>
          </w:p>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 Can be tailored to market views (range-bound or bullish)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sz w:val="24"/>
                <w:szCs w:val="24"/>
              </w:rPr>
            </w:pPr>
            <w:r w:rsidDel="00000000" w:rsidR="00000000" w:rsidRPr="00000000">
              <w:rPr>
                <w:b w:val="1"/>
                <w:bCs w:val="1"/>
                <w:sz w:val="24"/>
                <w:szCs w:val="24"/>
                <w:rtl w:val="0"/>
              </w:rPr>
              <w:t xml:space="preserve">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 Early redemption limits upside if underlying rallies strongly</w:t>
            </w:r>
          </w:p>
        </w:tc>
      </w:tr>
    </w:tbl>
    <w:p w:rsidR="00000000" w:rsidDel="00000000" w:rsidP="00000000" w:rsidRDefault="00000000" w:rsidRPr="00000000" w14:paraId="00000139">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sz w:val="18"/>
        <w:szCs w:val="18"/>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jc w:val="right"/>
      <w:rPr/>
    </w:pPr>
    <w:r w:rsidDel="00000000" w:rsidR="00000000" w:rsidRPr="00000000">
      <w:rPr>
        <w:sz w:val="18"/>
        <w:szCs w:val="18"/>
        <w:rtl w:val="0"/>
      </w:rPr>
      <w:t xml:space="preserve">                                                                                                                    </w:t>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